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90" w:rsidRPr="00CD7B60" w:rsidRDefault="003B533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Język Obcy (angielski, niemiecki)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vAlign w:val="center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vAlign w:val="center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III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922E90" w:rsidRPr="00CD7B60">
        <w:tc>
          <w:tcPr>
            <w:tcW w:w="1878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97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025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83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09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22E90" w:rsidRPr="00CD7B60">
        <w:tc>
          <w:tcPr>
            <w:tcW w:w="1878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025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CD7B60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CELE PRZEDMIOTU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C1. Kształcenie i rozwijanie podstawowych sprawności językowych (rozumienia, mówienia, czytania, pisania), niezbędnych do funkcjonowania w międzynarodowym środowisku pracy oraz w  życiu codziennym.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C2. Poznanie niezbędnego słownictwa ogólnotechnicznego i specjalistycznego związanego z kierunkiem studiów. 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C3. Nabycie przez studentów wiedzy i umiejętności interkulturowych.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Znajomość języka na poziomie biegłości B1 według Europejskiego Systemu Opisu Kształcenia Językowego Rady Europy.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Umiejętność pracy samodzielnej i w grupie.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Umiejętność korzystania z różnych źródeł informacji, również w języku obcym.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lastRenderedPageBreak/>
        <w:t xml:space="preserve">EU1. Student zna i rozumie </w:t>
      </w:r>
      <w:r w:rsidRPr="00CD7B60">
        <w:rPr>
          <w:rFonts w:ascii="Arial" w:eastAsia="Arial" w:hAnsi="Arial" w:cs="Arial"/>
          <w:color w:val="000000"/>
          <w:sz w:val="24"/>
          <w:szCs w:val="24"/>
        </w:rPr>
        <w:t>język obcy w stopniu pozwalającym na posługiwanie się nim w życiu codziennym oraz życiu zawodowym.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EU2. Student potrafi porozumieć się w środowisku zawodowym i typowych sytuacjach życia codziennego. Potrafi czytać ze zrozumieniem tekst popularno-naukowy ze swojej dziedziny. Potrafi formułować teksty w korespondencji prywatnej i zawodowej. Potrafi przygotować i przedstawić prezentację w języku obcym z użyciem środków multimedialnych.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EU3. Student jest gotów do pracy w grupie. Jest gotów do podnoszenia kompetencji językowych rozumiejąc potrzebę uczenia się przez całe życie.</w:t>
      </w:r>
    </w:p>
    <w:p w:rsidR="00922E90" w:rsidRPr="00CD7B60" w:rsidRDefault="00922E90">
      <w:pPr>
        <w:spacing w:after="0" w:line="360" w:lineRule="auto"/>
        <w:ind w:left="709" w:hanging="709"/>
        <w:rPr>
          <w:rFonts w:ascii="Arial" w:eastAsia="Arial" w:hAnsi="Arial" w:cs="Arial"/>
          <w:color w:val="FF0000"/>
          <w:sz w:val="24"/>
          <w:szCs w:val="24"/>
        </w:rPr>
      </w:pPr>
      <w:bookmarkStart w:id="0" w:name="_heading=h.gjdgxs" w:colFirst="0" w:colLast="0"/>
      <w:bookmarkEnd w:id="0"/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47"/>
        <w:gridCol w:w="1087"/>
      </w:tblGrid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30 h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C1-C2. Struktury leksykalno-gramatyczne. Ćwiczenia komunikacyjne.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94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C3-C4. </w:t>
            </w:r>
            <w:proofErr w:type="spellStart"/>
            <w:r w:rsidRPr="00CD7B6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CD7B60">
              <w:rPr>
                <w:rFonts w:ascii="Arial" w:eastAsia="Arial" w:hAnsi="Arial" w:cs="Arial"/>
                <w:sz w:val="24"/>
                <w:szCs w:val="24"/>
              </w:rPr>
              <w:t>* -  kompetencje i  relacje zawodowe.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7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C5-C6. Struktury leksykalno-gramatyczne. Ćwiczenia komunikacyjne.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C7-C8. </w:t>
            </w:r>
            <w:proofErr w:type="spellStart"/>
            <w:r w:rsidRPr="00CD7B6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CD7B60">
              <w:rPr>
                <w:rFonts w:ascii="Arial" w:eastAsia="Arial" w:hAnsi="Arial" w:cs="Arial"/>
                <w:sz w:val="24"/>
                <w:szCs w:val="24"/>
              </w:rPr>
              <w:t>*- korespondencja służbowa.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C9-C10. </w:t>
            </w:r>
            <w:proofErr w:type="spellStart"/>
            <w:r w:rsidRPr="00CD7B6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CD7B60">
              <w:rPr>
                <w:rFonts w:ascii="Arial" w:eastAsia="Arial" w:hAnsi="Arial" w:cs="Arial"/>
                <w:sz w:val="24"/>
                <w:szCs w:val="24"/>
              </w:rPr>
              <w:t>* - spotkania biznesowe.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C11-C12. Praca z tekstem specjalistycznym.**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273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C13-C14. </w:t>
            </w:r>
            <w:proofErr w:type="spellStart"/>
            <w:r w:rsidRPr="00CD7B6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* - wyjazdy służbowe.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F030CE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E20570" w:rsidRDefault="00C059EE" w:rsidP="00C059EE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C15-C16. Powtórzenie materiału. Test.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E20570" w:rsidRDefault="00C059EE" w:rsidP="00C059E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4E69CF">
        <w:trPr>
          <w:trHeight w:val="355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E2057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 xml:space="preserve">C17-C18. Struktury leksykalno-gramatyczne. Ćwiczenia  komunikacyjne.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E2057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E2057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 xml:space="preserve">C19-C20. </w:t>
            </w:r>
            <w:proofErr w:type="spellStart"/>
            <w:r w:rsidRPr="00E2057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E20570">
              <w:rPr>
                <w:rFonts w:ascii="Arial" w:eastAsia="Arial" w:hAnsi="Arial" w:cs="Arial"/>
                <w:sz w:val="24"/>
                <w:szCs w:val="24"/>
              </w:rPr>
              <w:t>* - sukces zawodowy- ćwiczenia leksykalne.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E2057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4E69CF">
        <w:trPr>
          <w:trHeight w:val="35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E2057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C21-C22. Ćwiczenie kompetencji zawodowych: prezentacja multimedialna. Prezentacja danych liczbowych i diagramów.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E2057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E2057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 xml:space="preserve">C23-C24. </w:t>
            </w:r>
            <w:proofErr w:type="spellStart"/>
            <w:r w:rsidRPr="00E20570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Pr="00E20570">
              <w:rPr>
                <w:rFonts w:ascii="Arial" w:eastAsia="Arial" w:hAnsi="Arial" w:cs="Arial"/>
                <w:sz w:val="24"/>
                <w:szCs w:val="24"/>
              </w:rPr>
              <w:t>*- Język sytuacyjny: wyrażanie opinii.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E2057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E2057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 xml:space="preserve">C25-C26. Praca z tekstem specjalistycznym.**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E2057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20570" w:rsidRPr="00E20570" w:rsidTr="000C0336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E20570" w:rsidRDefault="00C059EE" w:rsidP="00C059EE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>C27-C28. Powtórzenie materiału. Kolokwium.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E20570" w:rsidRDefault="00C059EE" w:rsidP="00C059E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2057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C29-C30. Podsumowanie materiału. Indywidualne prezentacje studentów.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:rsidR="00922E90" w:rsidRPr="00CD7B60" w:rsidRDefault="003B533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CD7B60"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JSwP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- Język Specjalistyczny w Pracy</w:t>
      </w:r>
    </w:p>
    <w:p w:rsidR="00922E90" w:rsidRDefault="003B533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** Tematyka tekstów specjalistycznych ściśle dopasowana do charakterystyki i zakresu danego kierunku.</w:t>
      </w:r>
    </w:p>
    <w:p w:rsidR="004E69CF" w:rsidRPr="00CD7B60" w:rsidRDefault="004E69CF">
      <w:pPr>
        <w:spacing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lastRenderedPageBreak/>
        <w:t>NARZĘDZIA DYDAKTYCZNE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podręczniki do języka ogólnego i specjalistycznego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ćwiczenia z zastosowaniem materiałów autorskich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ćwiczenia z zastosowaniem środków audiowizualnych; prezentacje multimedialne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Internet, platforma e-learningowa PCz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słowniki specjalistyczne: konwencjonalne oraz multimedialne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plansze, plakaty, mapy, itp.</w:t>
      </w:r>
    </w:p>
    <w:p w:rsidR="00922E90" w:rsidRPr="00CD7B60" w:rsidRDefault="00922E90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C059EE" w:rsidRPr="00E20570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b/>
          <w:sz w:val="24"/>
          <w:szCs w:val="24"/>
        </w:rPr>
        <w:t xml:space="preserve">F1. </w:t>
      </w:r>
      <w:r w:rsidRPr="00E20570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:rsidR="00C059EE" w:rsidRPr="00E20570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b/>
          <w:sz w:val="24"/>
          <w:szCs w:val="24"/>
        </w:rPr>
        <w:t>F2.</w:t>
      </w:r>
      <w:r w:rsidRPr="00E20570">
        <w:rPr>
          <w:rFonts w:ascii="Arial" w:eastAsia="Arial" w:hAnsi="Arial" w:cs="Arial"/>
          <w:sz w:val="24"/>
          <w:szCs w:val="24"/>
        </w:rPr>
        <w:t xml:space="preserve"> Przygotowanie prezentacji, sprawozdania lub referatu</w:t>
      </w:r>
    </w:p>
    <w:p w:rsidR="00C059EE" w:rsidRPr="00E20570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b/>
          <w:sz w:val="24"/>
          <w:szCs w:val="24"/>
        </w:rPr>
        <w:t xml:space="preserve">F3. </w:t>
      </w:r>
      <w:r w:rsidRPr="00E20570">
        <w:rPr>
          <w:rFonts w:ascii="Arial" w:eastAsia="Arial" w:hAnsi="Arial" w:cs="Arial"/>
          <w:sz w:val="24"/>
          <w:szCs w:val="24"/>
        </w:rPr>
        <w:t>Test</w:t>
      </w:r>
    </w:p>
    <w:p w:rsidR="00C059EE" w:rsidRPr="00E20570" w:rsidRDefault="00C059EE" w:rsidP="00C059EE">
      <w:pPr>
        <w:spacing w:after="0" w:line="360" w:lineRule="auto"/>
        <w:ind w:left="284"/>
        <w:rPr>
          <w:rFonts w:ascii="Arial" w:eastAsia="Arial" w:hAnsi="Arial" w:cs="Arial"/>
          <w:b/>
          <w:sz w:val="24"/>
          <w:szCs w:val="24"/>
        </w:rPr>
      </w:pPr>
      <w:r w:rsidRPr="00E20570">
        <w:rPr>
          <w:rFonts w:ascii="Arial" w:eastAsia="Arial" w:hAnsi="Arial" w:cs="Arial"/>
          <w:b/>
          <w:sz w:val="24"/>
          <w:szCs w:val="24"/>
        </w:rPr>
        <w:t xml:space="preserve">P1. </w:t>
      </w:r>
      <w:r w:rsidRPr="00E20570">
        <w:rPr>
          <w:rFonts w:ascii="Arial" w:eastAsia="Arial" w:hAnsi="Arial" w:cs="Arial"/>
          <w:sz w:val="24"/>
          <w:szCs w:val="24"/>
        </w:rPr>
        <w:t>Kolokwium</w:t>
      </w:r>
    </w:p>
    <w:p w:rsidR="00C059EE" w:rsidRPr="00E20570" w:rsidRDefault="00C059EE" w:rsidP="00C059EE">
      <w:pPr>
        <w:spacing w:after="0" w:line="360" w:lineRule="auto"/>
        <w:ind w:left="284"/>
        <w:rPr>
          <w:rFonts w:ascii="Arial" w:eastAsia="Arial" w:hAnsi="Arial" w:cs="Arial"/>
          <w:b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>*) warunkiem uzyskania zaliczenia jest otrzymanie pozytywnych ocen ze wszystkich elementów oceny formującej i podsumowującej.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5"/>
        <w:gridCol w:w="2102"/>
        <w:gridCol w:w="1683"/>
        <w:gridCol w:w="1956"/>
      </w:tblGrid>
      <w:tr w:rsidR="00922E90" w:rsidRPr="00CD7B60">
        <w:tc>
          <w:tcPr>
            <w:tcW w:w="5847" w:type="dxa"/>
            <w:gridSpan w:val="2"/>
            <w:vMerge w:val="restart"/>
          </w:tcPr>
          <w:p w:rsidR="00922E90" w:rsidRPr="00CD7B60" w:rsidRDefault="00922E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922E90" w:rsidRPr="00CD7B60">
        <w:trPr>
          <w:trHeight w:val="108"/>
        </w:trPr>
        <w:tc>
          <w:tcPr>
            <w:tcW w:w="5847" w:type="dxa"/>
            <w:gridSpan w:val="2"/>
            <w:vMerge/>
          </w:tcPr>
          <w:p w:rsidR="00922E90" w:rsidRPr="00CD7B60" w:rsidRDefault="0092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922E90" w:rsidRPr="00CD7B60">
        <w:tc>
          <w:tcPr>
            <w:tcW w:w="3745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22E90" w:rsidRPr="00CD7B60">
        <w:tc>
          <w:tcPr>
            <w:tcW w:w="3745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0,44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50 h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 ECTS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  <w:r w:rsidRPr="00CD7B60">
        <w:rPr>
          <w:rFonts w:ascii="Arial" w:eastAsia="Arial" w:hAnsi="Arial" w:cs="Arial"/>
          <w:b/>
          <w:sz w:val="24"/>
          <w:szCs w:val="24"/>
        </w:rPr>
        <w:t>Literatura podstawowa - Język angielski:</w:t>
      </w:r>
    </w:p>
    <w:p w:rsidR="00C059EE" w:rsidRPr="00E20570" w:rsidRDefault="00C059EE" w:rsidP="00C059EE">
      <w:p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>1.</w:t>
      </w:r>
      <w:r w:rsidRPr="00E20570">
        <w:t xml:space="preserve"> </w:t>
      </w:r>
      <w:r w:rsidRPr="00E20570">
        <w:rPr>
          <w:rFonts w:ascii="Arial" w:eastAsia="Times New Roman" w:hAnsi="Arial" w:cs="Arial"/>
          <w:sz w:val="24"/>
          <w:szCs w:val="24"/>
        </w:rPr>
        <w:t xml:space="preserve">Stephenson H.,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Lansford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L.,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Dummet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P.,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Keynote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upper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National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Geographic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Learning 2022.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lastRenderedPageBreak/>
        <w:t xml:space="preserve">2.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Dummet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P.,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Lansford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L.,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Keynote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National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Geographic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Learning 2022.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 xml:space="preserve">3. Dubicka I.,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O’Keeffe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M. i inni, B1+ Business Partner, Pearson 2018.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>4. Dubicka I., Rosenberg M. i inni, B2 Business Partner, Pearson 2018.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 xml:space="preserve">5.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Cotton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D.,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Falvey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D., Kent, S., Market Leader – Upper-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>, Pearson 2022.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Appleby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 R., Watkins F., International Express- Upper-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>, OUP 2019.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E20570">
        <w:rPr>
          <w:rFonts w:ascii="Arial" w:eastAsia="Times New Roman" w:hAnsi="Arial" w:cs="Arial"/>
          <w:sz w:val="24"/>
          <w:szCs w:val="24"/>
        </w:rPr>
        <w:t xml:space="preserve">7. Harding K., Lane A., International Express- </w:t>
      </w:r>
      <w:proofErr w:type="spellStart"/>
      <w:r w:rsidRPr="00E20570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E20570">
        <w:rPr>
          <w:rFonts w:ascii="Arial" w:eastAsia="Times New Roman" w:hAnsi="Arial" w:cs="Arial"/>
          <w:sz w:val="24"/>
          <w:szCs w:val="24"/>
        </w:rPr>
        <w:t xml:space="preserve">, OUP 2019. </w:t>
      </w:r>
    </w:p>
    <w:p w:rsidR="00C059EE" w:rsidRPr="00E20570" w:rsidRDefault="00C059EE" w:rsidP="00C059EE">
      <w:p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 w:rsidRPr="00E20570"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C059EE" w:rsidRPr="00E20570" w:rsidRDefault="00C059EE" w:rsidP="00C059EE">
      <w:pPr>
        <w:spacing w:after="0" w:line="360" w:lineRule="auto"/>
        <w:ind w:left="426" w:hanging="426"/>
        <w:contextualSpacing/>
        <w:rPr>
          <w:rFonts w:ascii="Arial" w:hAnsi="Arial" w:cs="Arial"/>
          <w:sz w:val="24"/>
          <w:szCs w:val="24"/>
          <w:lang w:val="en-GB"/>
        </w:rPr>
      </w:pPr>
      <w:r w:rsidRPr="00E20570"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E20570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E20570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922E90" w:rsidRPr="00CD7B60" w:rsidRDefault="00922E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/>
          <w:sz w:val="24"/>
          <w:szCs w:val="24"/>
        </w:rPr>
      </w:pP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Literatura uzupełniająca- Język angielski: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1. E. J. Williams: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Presentations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in English; Macmillan 2008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2. J.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Dooley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, V. Evans: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Grammarway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2,3,4; Express Publishing 1999 oraz inne podręczniki do gramatyki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3. Dictionary of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Contemporary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English; Pearson Longman 2009 oraz inne słowniki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4. H. Sanchez, A.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Frias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 inni: English for Professional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Success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>; Thomson LTD 2006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5. I. Mackenzie: Management and Marketing;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Heinle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1997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6. E. J. Williams: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Presentations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in English; Macmillan 2008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7. J.M.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Milne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: Business Language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Practice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Heinle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1994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8. N. Wood: Business and Commerce; Oxford University Press 2003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9. Aplikacje specjalistyczne, czasopisma specjalistyczne; zasoby Internetu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10. The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Usborne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Science Encyclopedia with QR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links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Usborne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Publishing 2015</w:t>
      </w:r>
    </w:p>
    <w:p w:rsidR="00922E90" w:rsidRPr="00CD7B60" w:rsidRDefault="00922E90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Literatura podstawowa – Język niemiecki: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Buscha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>, A., Begegnungen Deutsch als Fremdsprache B1+, Schubert Verlag, 2021.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Hagner V., Schlüter S., Im Beruf neu,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Verlag, 2021.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E20570">
        <w:rPr>
          <w:rFonts w:ascii="Arial" w:eastAsia="Times New Roman" w:hAnsi="Arial" w:cs="Arial"/>
          <w:sz w:val="24"/>
          <w:szCs w:val="24"/>
          <w:lang w:val="de-DE"/>
        </w:rPr>
        <w:t>Buchwald-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Wargenau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I.,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Giersberg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D., Im Beruf neu A2+/B1,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>, 2019.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Breitsameter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A., Glas-Peters S.,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Pude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A., Menschen B1,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>, 2018.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Braun-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Podeschwa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Habersack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Ch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.,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Pude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A., Menschen, Huber, 2018.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J.,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A., Deutsch für Profis,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Lektorklett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Muller A.,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Schlute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S.,  Im Beruf neu B1+/B2, 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E20570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E20570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Braunert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Schlenker W., Unternehmen Deutsch, E. Klett, 2016.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Fügert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N.,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Grosser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R., DaF im Unternehmen B1, Klett, 2016.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Eismann V., Erfolgreich bei Präsentationen, Cornelsen Verlag, Berlin 2016.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Guenat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G., Hartmann P., Deutsch für das Berufsleben B1/B2, E. Klett, 2015.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lastRenderedPageBreak/>
        <w:t>Kärchner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-Ober R., Deutsch für Ingenieure B1-B2,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, Warszawa 2015.</w:t>
      </w:r>
    </w:p>
    <w:p w:rsidR="00C059EE" w:rsidRPr="00E20570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Baberadova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H., Fremdsprache Deutsch – Finanzen B2/C1, </w:t>
      </w:r>
      <w:proofErr w:type="spellStart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Lektorklett</w:t>
      </w:r>
      <w:proofErr w:type="spellEnd"/>
      <w:r w:rsidRPr="00E20570">
        <w:rPr>
          <w:rFonts w:ascii="Arial" w:eastAsia="Times New Roman" w:hAnsi="Arial" w:cs="Arial"/>
          <w:bCs/>
          <w:sz w:val="24"/>
          <w:szCs w:val="24"/>
          <w:lang w:val="de-DE"/>
        </w:rPr>
        <w:t>, 2012.</w:t>
      </w:r>
    </w:p>
    <w:p w:rsidR="00C059EE" w:rsidRPr="00E20570" w:rsidRDefault="00C059EE" w:rsidP="00C059E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C059EE" w:rsidRPr="00E20570" w:rsidRDefault="00C059EE" w:rsidP="00C059E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20570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DaF Kompakt D, Klett,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proofErr w:type="spellStart"/>
      <w:r w:rsidRPr="00E20570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E20570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E20570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E20570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E20570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E20570">
        <w:rPr>
          <w:rFonts w:ascii="Arial" w:hAnsi="Arial" w:cs="Arial"/>
          <w:bCs/>
          <w:sz w:val="24"/>
          <w:szCs w:val="24"/>
        </w:rPr>
        <w:t>, 2007.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>, 2009.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>, 2008.</w:t>
      </w:r>
    </w:p>
    <w:p w:rsidR="00C059EE" w:rsidRPr="00E20570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E20570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E20570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922E90" w:rsidRPr="00CD7B60" w:rsidRDefault="00922E90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3" w:name="_GoBack"/>
      <w:r w:rsidRPr="00E20570">
        <w:rPr>
          <w:rFonts w:ascii="Arial" w:eastAsia="Arial" w:hAnsi="Arial" w:cs="Arial"/>
          <w:sz w:val="24"/>
          <w:szCs w:val="24"/>
        </w:rPr>
        <w:t xml:space="preserve">mgr Wioletta Będkowska </w:t>
      </w:r>
      <w:hyperlink r:id="rId8">
        <w:r w:rsidRPr="00E20570">
          <w:rPr>
            <w:rFonts w:ascii="Arial" w:eastAsia="Arial" w:hAnsi="Arial" w:cs="Arial"/>
            <w:sz w:val="24"/>
            <w:szCs w:val="24"/>
            <w:u w:val="single"/>
          </w:rPr>
          <w:t>wioletta.bedkowska@pcz.pl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E20570">
        <w:rPr>
          <w:rFonts w:ascii="Arial" w:eastAsia="Arial" w:hAnsi="Arial" w:cs="Arial"/>
          <w:sz w:val="24"/>
          <w:szCs w:val="24"/>
        </w:rPr>
        <w:t>Chwastowska</w:t>
      </w:r>
      <w:proofErr w:type="spellEnd"/>
      <w:r w:rsidRPr="00E20570"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Pr="00E20570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joanna.chwastowska@pcz.pl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Marian Gałkowski </w:t>
      </w:r>
      <w:hyperlink r:id="rId10">
        <w:r w:rsidRPr="00E20570">
          <w:rPr>
            <w:rFonts w:ascii="Arial" w:eastAsia="Arial" w:hAnsi="Arial" w:cs="Arial"/>
            <w:sz w:val="24"/>
            <w:szCs w:val="24"/>
            <w:u w:val="single"/>
          </w:rPr>
          <w:t>marian.galkowski@pcz.pl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Aleksandra Glińska </w:t>
      </w:r>
      <w:hyperlink r:id="rId11">
        <w:r w:rsidRPr="00E20570">
          <w:rPr>
            <w:rFonts w:ascii="Arial" w:eastAsia="Arial" w:hAnsi="Arial" w:cs="Arial"/>
            <w:sz w:val="24"/>
            <w:szCs w:val="24"/>
            <w:u w:val="single"/>
          </w:rPr>
          <w:t>aleksandra.glinska@pcz.pl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Katarzyna Górniak-Cierpiał </w:t>
      </w:r>
      <w:hyperlink r:id="rId12">
        <w:r w:rsidRPr="00E20570">
          <w:rPr>
            <w:rFonts w:ascii="Arial" w:eastAsia="Arial" w:hAnsi="Arial" w:cs="Arial"/>
            <w:sz w:val="24"/>
            <w:szCs w:val="24"/>
            <w:u w:val="single"/>
          </w:rPr>
          <w:t>katarzyna.gorniak@pcz.pl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Dorota </w:t>
      </w:r>
      <w:proofErr w:type="spellStart"/>
      <w:r w:rsidRPr="00E20570">
        <w:rPr>
          <w:rFonts w:ascii="Arial" w:eastAsia="Arial" w:hAnsi="Arial" w:cs="Arial"/>
          <w:sz w:val="24"/>
          <w:szCs w:val="24"/>
        </w:rPr>
        <w:t>Imiołczyk</w:t>
      </w:r>
      <w:proofErr w:type="spellEnd"/>
      <w:r w:rsidRPr="00E20570">
        <w:rPr>
          <w:rFonts w:ascii="Arial" w:eastAsia="Arial" w:hAnsi="Arial" w:cs="Arial"/>
          <w:sz w:val="24"/>
          <w:szCs w:val="24"/>
        </w:rPr>
        <w:t xml:space="preserve"> </w:t>
      </w:r>
      <w:hyperlink r:id="rId13">
        <w:r w:rsidRPr="00E20570">
          <w:rPr>
            <w:rFonts w:ascii="Arial" w:eastAsia="Arial" w:hAnsi="Arial" w:cs="Arial"/>
            <w:sz w:val="24"/>
            <w:szCs w:val="24"/>
            <w:u w:val="single"/>
          </w:rPr>
          <w:t>dorota.imiolczyk@pcz.pl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Aneta Kot </w:t>
      </w:r>
      <w:hyperlink r:id="rId14">
        <w:r w:rsidRPr="00E20570">
          <w:rPr>
            <w:rFonts w:ascii="Arial" w:eastAsia="Arial" w:hAnsi="Arial" w:cs="Arial"/>
            <w:sz w:val="24"/>
            <w:szCs w:val="24"/>
            <w:u w:val="single"/>
          </w:rPr>
          <w:t>aneta.kot@pcz.pl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Danuta Kulik-Grzybek </w:t>
      </w:r>
      <w:hyperlink r:id="rId15" w:history="1">
        <w:r w:rsidRPr="00E20570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d.kulik-grzybek@pcz.pl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Izabela </w:t>
      </w:r>
      <w:proofErr w:type="spellStart"/>
      <w:r w:rsidRPr="00E20570">
        <w:rPr>
          <w:rFonts w:ascii="Arial" w:eastAsia="Arial" w:hAnsi="Arial" w:cs="Arial"/>
          <w:sz w:val="24"/>
          <w:szCs w:val="24"/>
        </w:rPr>
        <w:t>Mishchil</w:t>
      </w:r>
      <w:proofErr w:type="spellEnd"/>
      <w:r w:rsidRPr="00E20570">
        <w:rPr>
          <w:rFonts w:ascii="Arial" w:eastAsia="Arial" w:hAnsi="Arial" w:cs="Arial"/>
          <w:b/>
          <w:sz w:val="24"/>
          <w:szCs w:val="24"/>
        </w:rPr>
        <w:t xml:space="preserve"> </w:t>
      </w:r>
      <w:hyperlink r:id="rId16">
        <w:r w:rsidRPr="00E20570">
          <w:rPr>
            <w:rFonts w:ascii="Arial" w:eastAsia="Arial" w:hAnsi="Arial" w:cs="Arial"/>
            <w:sz w:val="24"/>
            <w:szCs w:val="24"/>
            <w:u w:val="single"/>
          </w:rPr>
          <w:t>izabela.mishchil@pcz.pl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Monika Nitkiewicz </w:t>
      </w:r>
      <w:hyperlink r:id="rId17">
        <w:r w:rsidRPr="00E20570">
          <w:rPr>
            <w:rFonts w:ascii="Arial" w:eastAsia="Arial" w:hAnsi="Arial" w:cs="Arial"/>
            <w:sz w:val="24"/>
            <w:szCs w:val="24"/>
            <w:u w:val="single"/>
          </w:rPr>
          <w:t>monika.nitkiewicz@pcz.pl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E20570">
        <w:rPr>
          <w:rFonts w:ascii="Arial" w:eastAsia="Arial" w:hAnsi="Arial" w:cs="Arial"/>
          <w:sz w:val="24"/>
          <w:szCs w:val="24"/>
        </w:rPr>
        <w:t>Pabjańczyk</w:t>
      </w:r>
      <w:proofErr w:type="spellEnd"/>
      <w:r w:rsidRPr="00E20570">
        <w:rPr>
          <w:rFonts w:ascii="Arial" w:eastAsia="Arial" w:hAnsi="Arial" w:cs="Arial"/>
          <w:sz w:val="24"/>
          <w:szCs w:val="24"/>
        </w:rPr>
        <w:t xml:space="preserve">-Musialska </w:t>
      </w:r>
      <w:hyperlink r:id="rId18">
        <w:r w:rsidRPr="00E20570">
          <w:rPr>
            <w:rFonts w:ascii="Arial" w:eastAsia="Arial" w:hAnsi="Arial" w:cs="Arial"/>
            <w:sz w:val="24"/>
            <w:szCs w:val="24"/>
            <w:u w:val="single"/>
          </w:rPr>
          <w:t>j.pabjanczyk-musialska@pcz.pl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Dominika </w:t>
      </w:r>
      <w:proofErr w:type="spellStart"/>
      <w:r w:rsidRPr="00E20570">
        <w:rPr>
          <w:rFonts w:ascii="Arial" w:eastAsia="Arial" w:hAnsi="Arial" w:cs="Arial"/>
          <w:sz w:val="24"/>
          <w:szCs w:val="24"/>
        </w:rPr>
        <w:t>Rachwalik</w:t>
      </w:r>
      <w:proofErr w:type="spellEnd"/>
      <w:r w:rsidRPr="00E20570">
        <w:rPr>
          <w:rFonts w:ascii="Arial" w:eastAsia="Arial" w:hAnsi="Arial" w:cs="Arial"/>
          <w:sz w:val="24"/>
          <w:szCs w:val="24"/>
        </w:rPr>
        <w:t xml:space="preserve"> </w:t>
      </w:r>
      <w:hyperlink r:id="rId19">
        <w:r w:rsidRPr="00E20570">
          <w:rPr>
            <w:rFonts w:ascii="Arial" w:eastAsia="Arial" w:hAnsi="Arial" w:cs="Arial"/>
            <w:sz w:val="24"/>
            <w:szCs w:val="24"/>
            <w:u w:val="single"/>
          </w:rPr>
          <w:t>dominika.rachwalik@pcz.pl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Olga Sawyer </w:t>
      </w:r>
      <w:hyperlink r:id="rId20" w:history="1">
        <w:r w:rsidRPr="00E20570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olga.sawyer@pcz.pl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mgr Katarzyna Stefańczyk </w:t>
      </w:r>
      <w:hyperlink r:id="rId21">
        <w:r w:rsidRPr="00E20570">
          <w:rPr>
            <w:rFonts w:ascii="Arial" w:eastAsia="Arial" w:hAnsi="Arial" w:cs="Arial"/>
            <w:sz w:val="24"/>
            <w:szCs w:val="24"/>
            <w:u w:val="single"/>
          </w:rPr>
          <w:t>katarzyna.stefanczyk@pcz.pl</w:t>
        </w:r>
      </w:hyperlink>
    </w:p>
    <w:p w:rsidR="00C059EE" w:rsidRPr="00E20570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20570">
        <w:rPr>
          <w:rFonts w:ascii="Arial" w:eastAsia="Arial" w:hAnsi="Arial" w:cs="Arial"/>
          <w:sz w:val="24"/>
          <w:szCs w:val="24"/>
        </w:rPr>
        <w:t xml:space="preserve">dr Marlena Wilk </w:t>
      </w:r>
      <w:hyperlink r:id="rId22">
        <w:r w:rsidRPr="00E20570">
          <w:rPr>
            <w:rFonts w:ascii="Arial" w:eastAsia="Arial" w:hAnsi="Arial" w:cs="Arial"/>
            <w:sz w:val="24"/>
            <w:szCs w:val="24"/>
            <w:u w:val="single"/>
          </w:rPr>
          <w:t>marlena.wilk@pcz.pl</w:t>
        </w:r>
      </w:hyperlink>
      <w:r w:rsidRPr="00E20570">
        <w:rPr>
          <w:rFonts w:ascii="Arial" w:eastAsia="Arial" w:hAnsi="Arial" w:cs="Arial"/>
          <w:sz w:val="24"/>
          <w:szCs w:val="24"/>
        </w:rPr>
        <w:t xml:space="preserve"> </w:t>
      </w:r>
    </w:p>
    <w:bookmarkEnd w:id="3"/>
    <w:p w:rsidR="00C059EE" w:rsidRPr="00527DE2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27DE2">
        <w:rPr>
          <w:rFonts w:ascii="Arial" w:eastAsia="Arial" w:hAnsi="Arial" w:cs="Arial"/>
          <w:sz w:val="24"/>
          <w:szCs w:val="24"/>
        </w:rPr>
        <w:t xml:space="preserve">mgr Przemysław Załęcki </w:t>
      </w:r>
      <w:hyperlink r:id="rId23">
        <w:r w:rsidRPr="00527DE2">
          <w:rPr>
            <w:rFonts w:ascii="Arial" w:eastAsia="Arial" w:hAnsi="Arial" w:cs="Arial"/>
            <w:color w:val="0000FF"/>
            <w:sz w:val="24"/>
            <w:szCs w:val="24"/>
            <w:u w:val="single"/>
          </w:rPr>
          <w:t>przemyslaw.zalecki@pcz.pl</w:t>
        </w:r>
      </w:hyperlink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lastRenderedPageBreak/>
        <w:t>MACIERZ REALIZACJI EFEKTÓW UCZENIA SIĘ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2914"/>
        <w:gridCol w:w="1402"/>
        <w:gridCol w:w="1537"/>
        <w:gridCol w:w="1537"/>
        <w:gridCol w:w="1073"/>
      </w:tblGrid>
      <w:tr w:rsidR="00922E90" w:rsidRPr="00CD7B60">
        <w:trPr>
          <w:jc w:val="center"/>
        </w:trPr>
        <w:tc>
          <w:tcPr>
            <w:tcW w:w="102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914" w:type="dxa"/>
          </w:tcPr>
          <w:p w:rsidR="00922E90" w:rsidRPr="00CD7B60" w:rsidRDefault="003B5333" w:rsidP="009A0B5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 (PEK)</w:t>
            </w:r>
          </w:p>
        </w:tc>
        <w:tc>
          <w:tcPr>
            <w:tcW w:w="1402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537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37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7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922E90" w:rsidRPr="00CD7B60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 w:rsidP="009A0B5F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 F2, F3, P1</w:t>
            </w:r>
          </w:p>
        </w:tc>
      </w:tr>
      <w:tr w:rsidR="00922E90" w:rsidRPr="00CD7B60">
        <w:trPr>
          <w:trHeight w:val="353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 F2, F3,</w:t>
            </w:r>
            <w:r w:rsidRPr="00CD7B60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P1 </w:t>
            </w:r>
          </w:p>
        </w:tc>
      </w:tr>
      <w:tr w:rsidR="00922E90" w:rsidRPr="00CD7B60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</w:t>
            </w:r>
            <w:r w:rsidRPr="00CD7B60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F2, F3, P1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FORMY OCENY – SZCZEGÓŁY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2499"/>
        <w:gridCol w:w="2122"/>
        <w:gridCol w:w="2227"/>
        <w:gridCol w:w="2153"/>
      </w:tblGrid>
      <w:tr w:rsidR="00922E90" w:rsidRPr="00CD7B60">
        <w:trPr>
          <w:trHeight w:val="25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922E90">
            <w:pPr>
              <w:spacing w:after="0" w:line="360" w:lineRule="auto"/>
              <w:ind w:left="2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30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22E90" w:rsidRPr="00CD7B60">
        <w:trPr>
          <w:trHeight w:val="82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poniżej 60%. Nie zna podstawowych pojęć związanych ze swoją dziedziną i sytuacjami życia codziennego. Nie potrafi stosować konstrukcji gramatycznych w sposób prawidłowy w wypowiedziach ustnych i pisemnych.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60-70%. Zna w ograniczonym zakresie słownictwo ogólne oraz ogólnotechniczne. Potrafi zastosować typowe konstrukcje gramatyczne charakterystyczne dla danego języka, lecz popełnia przy tym liczne błędy.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76-85%. Dobrze zna słownictwo ogólne i techniczne. Posługuje się kluczowymi konstrukcjami gramatycznymi w sposób prawidłowy, lecz okazjonalnie popełnia błędy.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93-100%. Zna bardzo dobrze terminologię ogólną i techniczną. Potrafi płynnie i precyzyjnie zastosować konstrukcje gramatyczne charakterystyczne dla danego języka.</w:t>
            </w:r>
          </w:p>
        </w:tc>
      </w:tr>
      <w:tr w:rsidR="00922E90" w:rsidRPr="00CD7B60">
        <w:trPr>
          <w:trHeight w:val="54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Student nie potrafi porozumieć się w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środowisku zawodowym i typowych sytuacjach życia codziennego ze względu na brak podstawowego słownictwa ogólnego i ogólnotechnicznego oraz podstawowych struktur gramatycznych. Student nie rozumie tekstu, który czyta i nie potrafi sformułować prostych tekstów w korespondencji prywatnej i zawodowej. Student nie potrafi przygotować i przedstawić prezentacji na zadany temat.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stosować proste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wypowiedzi dot. życia zawodowego i prywatnego na bazie prostego słownictwa ogólnego i specjalistycznego oraz podstawowych struktur gramatycznych.  Student rozumie jedynie fragmenty tekstu, który czyta, ma trudności z jego interpretacją. Student potrafi w sposób komunikatywny, lecz w bardzo ograniczonym zakresie, sformułować proste teksty w korespondencji prywatnej i zawodowej. Potrafi przygotować prezentację zgodnie z przyjętymi zasadami i przedstawić ją, lecz popełnia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liczne błędy językowe.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porozumiewać się w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rutynowych sytuacjach życia codziennego i zawodowego popełniając przy tym nieliczne błędy. Rozumie znaczenie głównych wątków tekstu i potrafi je zinterpretować. Potrafi w sposób komunikatywny wypowiadać się w formie pisemnej, lecz okazjonalnie popełnia przy tym błędy. Student potrafi przygotować prezentację zgodnie z przyjętymi zasadami i potrafi ją przedstawić w sposób prosty i komunikatywny.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potrafi płynnie i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spontanicznie wypowiadać się na tematy zawodowe i społeczne używając bogatej leksyki i zaawansowanych struktur gramatycznych. Rozumie wszystkie informacje zawarte w tekście. Potrafi bezbłędnie interpretować przeczytany tekst. Potrafi swobodnie i kreatywnie wypowiadać się pisemnie , z zachowaniem wszelkich standardów obowiązujących w korespondencji w języku docelowym. Potrafi przygotować prezentację zgodnie z przyjętymi zasadami i potrafi ją przedstawić, posługując się bogatym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słownictwem i zaawansowanymi konstrukcjami gramatycznymi.</w:t>
            </w:r>
          </w:p>
        </w:tc>
      </w:tr>
      <w:tr w:rsidR="00922E90" w:rsidRPr="00CD7B60">
        <w:trPr>
          <w:trHeight w:val="5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  <w:p w:rsidR="00922E90" w:rsidRPr="00CD7B60" w:rsidRDefault="00922E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nie jest gotów pracować w zespole. Nie wykazuje zaangażowania w podnoszeniu kompetencji językowych. Nie potrafi porozumieć się w środowisku zawodowym i typowych sytuacjach życia codziennego.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jest gotów współpracować w zespole, zauważa konieczność pracy wspólnej i podejmuje to wyzwanie. Potrafi stosować proste wypowiedzi dot. życia zawodowego i prywatnego w bardzo ograniczonym zakresie. Wypowiada się zgodnie z tematem, prezentując wypowiedź stosunkowo płynną, jednak zawierającą błędy gramatyczne i leksykalne.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chętnie porozumiewa się w rutynowych sytuacjach życia codziennego i zawodowego popełniając przy tym nieliczne błędy, które nie zakłócają komunikatywności wypowiedzi. Potrafi interesująco i precyzyjnie wyrazić swoje myśli nawiązując dobry kontakt z rozmówcą.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potrafi płynnie i spontanicznie wypowiadać się na tematy zawodowe i społeczne oraz w sytuacjach życia codziennego. Odnajduje się zarówno w zadaniach indywidualnych jak i w pracy grupowej. Jest gotów do podejmowania samodzielnych decyzji w grupie (staje się jej liderem).</w:t>
            </w:r>
          </w:p>
        </w:tc>
      </w:tr>
    </w:tbl>
    <w:p w:rsidR="00922E90" w:rsidRPr="00CD7B60" w:rsidRDefault="003B5333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Ocena połówkowa 3,5 jest wystawiana w przypadku pełnego zaliczenia efektów uczenia się na ocenę 3.0, ale student nie przyswoił w pełni efektów uczenia się na ocenę 4.0.Ocena połówkowa 4,5 jest wystawiana w przypadku pełnego zaliczenia efektów uczenia się na ocenę 4.0, ale student nie przyswoił w pełni efektów uczenia się na ocenę 5.0.</w:t>
      </w:r>
    </w:p>
    <w:p w:rsidR="00922E9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7B71C1" w:rsidRPr="00CD7B60" w:rsidRDefault="007B71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Z materiałami pomocniczymi, literaturą itp. można zapoznać się – na zajęciach dydaktycznych, w pokoju wykładowcy w SJO oraz w systemie USOS.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 xml:space="preserve">Zajęcia z języków obcych odbywają się w Studium Języków Obcych PCz., ul Dąbrowskiego 69 II p. oraz z wykorzystaniem platformy e-learningowej PCz. 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Informacje na temat terminu zajęć dostępne są w Sekretariacie SJO oraz w systemie USOS.</w:t>
      </w:r>
    </w:p>
    <w:p w:rsidR="00922E90" w:rsidRPr="007B71C1" w:rsidRDefault="003B5333" w:rsidP="005E2929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 w:hanging="284"/>
        <w:jc w:val="both"/>
        <w:rPr>
          <w:rFonts w:ascii="Arial" w:eastAsia="Arial" w:hAnsi="Arial" w:cs="Arial"/>
          <w:sz w:val="24"/>
          <w:szCs w:val="24"/>
        </w:rPr>
      </w:pPr>
      <w:r w:rsidRPr="007B71C1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przekazywana jest studentom podczas pierwszych zajęć z danego przedmiotu, a także jest dostępna w sekretariacie SJO i zamieszczona na stronie internetowej SJO- </w:t>
      </w:r>
      <w:hyperlink r:id="rId24">
        <w:r w:rsidRPr="007B71C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www.sjo.pcz.pl</w:t>
        </w:r>
      </w:hyperlink>
      <w:r w:rsidRPr="007B71C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922E90" w:rsidRPr="007B71C1">
      <w:footerReference w:type="default" r:id="rId25"/>
      <w:headerReference w:type="first" r:id="rId26"/>
      <w:pgSz w:w="11906" w:h="16838"/>
      <w:pgMar w:top="1135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A6C" w:rsidRDefault="00663A6C">
      <w:pPr>
        <w:spacing w:after="0" w:line="240" w:lineRule="auto"/>
      </w:pPr>
      <w:r>
        <w:separator/>
      </w:r>
    </w:p>
  </w:endnote>
  <w:endnote w:type="continuationSeparator" w:id="0">
    <w:p w:rsidR="00663A6C" w:rsidRDefault="0066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E90" w:rsidRDefault="00922E90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A6C" w:rsidRDefault="00663A6C">
      <w:pPr>
        <w:spacing w:after="0" w:line="240" w:lineRule="auto"/>
      </w:pPr>
      <w:r>
        <w:separator/>
      </w:r>
    </w:p>
  </w:footnote>
  <w:footnote w:type="continuationSeparator" w:id="0">
    <w:p w:rsidR="00663A6C" w:rsidRDefault="0066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E90" w:rsidRDefault="003B53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AF6"/>
    <w:multiLevelType w:val="multilevel"/>
    <w:tmpl w:val="76E0DA6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55"/>
    <w:multiLevelType w:val="multilevel"/>
    <w:tmpl w:val="6834F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6BA6"/>
    <w:multiLevelType w:val="multilevel"/>
    <w:tmpl w:val="1A22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A04"/>
    <w:multiLevelType w:val="multilevel"/>
    <w:tmpl w:val="7942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6CE7"/>
    <w:multiLevelType w:val="multilevel"/>
    <w:tmpl w:val="433CAA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10632"/>
    <w:multiLevelType w:val="multilevel"/>
    <w:tmpl w:val="D5B29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70AED"/>
    <w:multiLevelType w:val="multilevel"/>
    <w:tmpl w:val="B852CE3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90"/>
    <w:rsid w:val="00146D95"/>
    <w:rsid w:val="003B5333"/>
    <w:rsid w:val="0043391F"/>
    <w:rsid w:val="004E69CF"/>
    <w:rsid w:val="00663A6C"/>
    <w:rsid w:val="006B7F83"/>
    <w:rsid w:val="007B71C1"/>
    <w:rsid w:val="00876E68"/>
    <w:rsid w:val="00922E90"/>
    <w:rsid w:val="00973C9C"/>
    <w:rsid w:val="009A0B5F"/>
    <w:rsid w:val="00A1056D"/>
    <w:rsid w:val="00BB3395"/>
    <w:rsid w:val="00BC172D"/>
    <w:rsid w:val="00C059EE"/>
    <w:rsid w:val="00CD7B60"/>
    <w:rsid w:val="00D00002"/>
    <w:rsid w:val="00DC5420"/>
    <w:rsid w:val="00DC7069"/>
    <w:rsid w:val="00E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D254-550B-4E06-B7F4-7C25A5A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paragraph" w:styleId="Akapitzlist">
    <w:name w:val="List Paragraph"/>
    <w:basedOn w:val="Normalny"/>
    <w:uiPriority w:val="99"/>
    <w:qFormat/>
    <w:rsid w:val="00C059E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C05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bedkowska@pcz.pl" TargetMode="External"/><Relationship Id="rId13" Type="http://schemas.openxmlformats.org/officeDocument/2006/relationships/hyperlink" Target="mailto:dorota.imiolczyk@pcz.pl" TargetMode="External"/><Relationship Id="rId18" Type="http://schemas.openxmlformats.org/officeDocument/2006/relationships/hyperlink" Target="mailto:j.pabjanczyk-musialska@pcz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atarzyna.stefanczyk@pcz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tarzyna.gorniak@pcz.pl" TargetMode="External"/><Relationship Id="rId17" Type="http://schemas.openxmlformats.org/officeDocument/2006/relationships/hyperlink" Target="mailto:monika.nitkiewicz@pcz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zabela.mishchil@pcz.pl" TargetMode="External"/><Relationship Id="rId20" Type="http://schemas.openxmlformats.org/officeDocument/2006/relationships/hyperlink" Target="mailto:olga.sawyer@p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.glinska@pcz.pl" TargetMode="External"/><Relationship Id="rId24" Type="http://schemas.openxmlformats.org/officeDocument/2006/relationships/hyperlink" Target="http://www.sjo.p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kulik-grzybek@pcz.pl" TargetMode="External"/><Relationship Id="rId23" Type="http://schemas.openxmlformats.org/officeDocument/2006/relationships/hyperlink" Target="mailto:przemyslaw.zalecki@pcz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ian.galkowski@pcz.pl" TargetMode="External"/><Relationship Id="rId19" Type="http://schemas.openxmlformats.org/officeDocument/2006/relationships/hyperlink" Target="mailto:dominika.rachwalik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chwastowska@pcz.pl" TargetMode="External"/><Relationship Id="rId14" Type="http://schemas.openxmlformats.org/officeDocument/2006/relationships/hyperlink" Target="mailto:aneta.kot@pcz.pl" TargetMode="External"/><Relationship Id="rId22" Type="http://schemas.openxmlformats.org/officeDocument/2006/relationships/hyperlink" Target="mailto:marlena.wilk@pcz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IOV2cf0tg+gYqCqbySfMNmOeg==">CgMxLjAyCGguZ2pkZ3hzMgloLjMwajB6bGwyCWguMWZvYjl0ZTgAciExUWRqcXVyajJkTHpteld0RWctMk1LNjBSUzRibXFfUEs=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1990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Wilk</dc:creator>
  <cp:lastModifiedBy>Administrator</cp:lastModifiedBy>
  <cp:revision>2</cp:revision>
  <dcterms:created xsi:type="dcterms:W3CDTF">2025-08-27T13:09:00Z</dcterms:created>
  <dcterms:modified xsi:type="dcterms:W3CDTF">2025-08-27T13:09:00Z</dcterms:modified>
</cp:coreProperties>
</file>