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2E" w:rsidRPr="00080A92" w:rsidRDefault="0085372E" w:rsidP="0085372E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SYLABUS DO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6"/>
        <w:gridCol w:w="5230"/>
      </w:tblGrid>
      <w:tr w:rsidR="0085372E" w:rsidRPr="00080A92" w:rsidTr="000A25DC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Nazwa przedmiotu po polsku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Ubezpieczenia</w:t>
            </w:r>
            <w:bookmarkEnd w:id="0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Kierunek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Zarządzanie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Forma studiów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tacjonarne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Poziom kwalifikacji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ierwszego stopnia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Rok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Semestr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V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Jednostka prowadząca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Katedra Ekonomii, Inwestycji i Nieruchomości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Osoba sporządzająca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dr hab. Małgorzata Okręglicka, prof. PCz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Profil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gólnoakademicki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RODZAJ ZAJĘĆ – LICZBA GODZIN W SEMESTRZE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1820"/>
        <w:gridCol w:w="2171"/>
        <w:gridCol w:w="1582"/>
        <w:gridCol w:w="1737"/>
      </w:tblGrid>
      <w:tr w:rsidR="0085372E" w:rsidRPr="00080A92" w:rsidTr="000A25DC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WYKŁAD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ĆWICZENIA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LABORATORIUM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PROJEKT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SEMINARIUM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OPIS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ind w:left="555" w:hanging="5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C1.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Zapoznanie podstawami teoretycznymi instytucji ubezpieczenia. </w:t>
      </w:r>
    </w:p>
    <w:p w:rsidR="0085372E" w:rsidRPr="00080A92" w:rsidRDefault="0085372E" w:rsidP="0085372E">
      <w:pPr>
        <w:spacing w:after="0" w:line="360" w:lineRule="auto"/>
        <w:ind w:left="555" w:hanging="55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C2.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Zapoznanie się z zasadami funkcjonowania ubezpieczeń społecznych i zdrowotnych w Polsce </w:t>
      </w:r>
    </w:p>
    <w:p w:rsidR="0085372E" w:rsidRPr="00080A92" w:rsidRDefault="0085372E" w:rsidP="0085372E">
      <w:pPr>
        <w:spacing w:after="0" w:line="360" w:lineRule="auto"/>
        <w:ind w:left="555" w:hanging="55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C3.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Zapoznanie z podstawowymi zasadami funkcjonowania ubezpieczeń majątkowych i osobowych.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WSTĘPNE W ZAKRESIE WIEDZY, UMIEJĘTNOŚCI I INNYCH KOMPETENCJI 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354504" w:rsidRDefault="0085372E" w:rsidP="0085372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54504">
        <w:rPr>
          <w:rFonts w:ascii="Arial" w:eastAsia="Times New Roman" w:hAnsi="Arial" w:cs="Arial"/>
          <w:sz w:val="24"/>
          <w:szCs w:val="24"/>
          <w:lang w:eastAsia="pl-PL"/>
        </w:rPr>
        <w:t>Podstawy przedsiębiorczości według programów nauczania szkół średnich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EFEKTY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 1.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Student rozpoznaje, wymienia i rozróżnia pojęcia związane z ubezpieczeniami.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EU 2.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Student zna, rozumie i analizuje system ubezpieczeń społecznych.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 3.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Student zna, rozumie i analizuje system ubezpieczeń zdrowotnych.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 4.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Student posiada wiedzę na temat funkcjonowania ubezpieczeń majątkowych i osobowych. 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TREŚCI PROGRAMOWE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8"/>
        <w:gridCol w:w="1218"/>
      </w:tblGrid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Omówienie przebiegu, organizacji pracy i zasad zaliczenia wykładu. Ryzyko jako podstawa dla funkcjonowania ubezpieczeń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2 -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Pojęcie ubezpieczenia i podstawowa terminologia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3 -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Klasyfikacja ubezpieczeń. Umowy ubezpieczenia 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4 -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System ubezpieczeń społecznych i zdrowotnych w Polsce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5 -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Ubezpieczenia emerytalne 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6 -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Ubezpieczenia emerytalne cd.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7 -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Ubezpieczenia rentowe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8 -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Ubezpieczenia chorobowe 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9 -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Ubezpieczenia wypadkowe 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10 -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Ubezpieczenia zdrowotne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11 -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Ubezpieczenia zdrowotne cd.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12 -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Ubezpieczenia gospodarcze osobowe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W13 -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Ubezpieczenia gospodarcze osobowe cd.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14 -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Ubezpieczenia gospodarcze majątkowe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15 -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Podsumowanie materiału z wykładów. Test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PROJEKT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P1 -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Przedstawienie zasad realizacji zadań projektowych. Podział na grupy zadaniowe.  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P2 –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Omówienie zakresu projektu. Wybór kraju do porównania w ramach grup projektowych. 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P3 –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Praca w grupach - Przygotowanie karty projektu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P4 –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Praca w grupach - Rozpoznanie podstawowych zasad funkcjonowania wybranego systemu ubezpieczeń / typu ubezpieczeń w badanym kraju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P5 –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Praca w grupach - zestawienie podstawowych zasad funkcjonowania systemu ubezpieczeń / typów ubezpieczeń w badanym kraju i w Polsce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P6 –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Praca w grupach - zakres ubezpieczeń / typu ubezpieczeń w badanym kraju i Polsce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P7 -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Praca w grupach - składki i finansowanie systemu ubezpieczeń / typu ubezpieczeń w badanym kraju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P8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Praca w grupach - zestawienie składek i finansowania systemu ubezpieczeń / typu ubezpieczeń w badanym kraju i Polsce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P9 -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Praca w grupach - wysokość świadczeń ubezpieczeniowych w badanym kraju 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P10 -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Praca w grupach - zestawienie wysokości świadczeń ubezpieczeniowych w badanym kraju i w Polsce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P11 -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Praca w grupach - Przeanalizowanie i porównanie wyzwań i problemów systemów ubezpieczeń / typów ubezpieczeń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P12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Praca w grupach - Ocena efektywności i przyszłości systemów ubezpieczeń / typów ubezpieczeń w badanym kraju i w Polsce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P13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Praca w grupach - Wnioski i rekomendacje dotyczące możliwych zmian w polskim systemie ubezpieczeniowym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P14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Multimedialne prezentacje projektów poszczególnych grup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  <w:tr w:rsidR="0085372E" w:rsidRPr="00080A92" w:rsidTr="000A25DC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P15 -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Multimedialne prezentacje projektów poszczególnych grup. Rozliczenie semestralne.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</w:t>
            </w:r>
          </w:p>
        </w:tc>
      </w:tr>
    </w:tbl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NARZĘDZIA DYDAKTYCZNE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1. sprzęt audiowizualny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2. autorskie materiały dydaktyczne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3. akty prawne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4. podręczniki i skrypty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5. platforma e-learningowa  </w:t>
      </w:r>
      <w:r>
        <w:rPr>
          <w:rFonts w:ascii="Arial" w:hAnsi="Arial" w:cs="Arial"/>
          <w:sz w:val="24"/>
          <w:szCs w:val="24"/>
        </w:rPr>
        <w:t>PCz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SPOSOBY OCENY (F – FORMUJĄCA, P – PODSUMOWUJĄCA)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 zajęciach)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P1. Wykonanie projektu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P2. </w:t>
      </w: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Test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OBCIĄŻENIE PRACĄ STUDENTA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9"/>
        <w:gridCol w:w="1631"/>
        <w:gridCol w:w="1516"/>
      </w:tblGrid>
      <w:tr w:rsidR="0085372E" w:rsidRPr="00080A92" w:rsidTr="000A25DC">
        <w:trPr>
          <w:trHeight w:val="300"/>
        </w:trPr>
        <w:tc>
          <w:tcPr>
            <w:tcW w:w="63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[h]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kontaktowe z nauczycielem (wykłady, ćwiczenia)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1,2 </w:t>
            </w:r>
          </w:p>
        </w:tc>
      </w:tr>
      <w:tr w:rsidR="0085372E" w:rsidRPr="00080A92" w:rsidTr="000A25DC">
        <w:trPr>
          <w:trHeight w:val="300"/>
        </w:trPr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pracy zaliczeniowej (projekt)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0,2 </w:t>
            </w:r>
          </w:p>
        </w:tc>
      </w:tr>
      <w:tr w:rsidR="0085372E" w:rsidRPr="00080A92" w:rsidTr="000A25DC">
        <w:trPr>
          <w:trHeight w:val="300"/>
        </w:trPr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zaliczenia wykładu 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0,2 </w:t>
            </w:r>
          </w:p>
        </w:tc>
      </w:tr>
      <w:tr w:rsidR="0085372E" w:rsidRPr="00080A92" w:rsidTr="000A25DC">
        <w:trPr>
          <w:trHeight w:val="300"/>
        </w:trPr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Zapoznanie się ze wskazaną literaturą 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0,2 </w:t>
            </w:r>
          </w:p>
        </w:tc>
      </w:tr>
      <w:tr w:rsidR="0085372E" w:rsidRPr="00080A92" w:rsidTr="000A25DC">
        <w:trPr>
          <w:trHeight w:val="300"/>
        </w:trPr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Konsultacje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0,2 </w:t>
            </w:r>
          </w:p>
        </w:tc>
      </w:tr>
      <w:tr w:rsidR="0085372E" w:rsidRPr="00080A92" w:rsidTr="000A25DC">
        <w:trPr>
          <w:trHeight w:val="300"/>
        </w:trPr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50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85372E" w:rsidRPr="00080A92" w:rsidRDefault="0085372E" w:rsidP="0085372E">
      <w:pPr>
        <w:spacing w:after="0" w:line="360" w:lineRule="auto"/>
        <w:ind w:left="63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 I UZUPEŁNIAJĄCA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podstawowa: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E01B4D" w:rsidRDefault="0085372E" w:rsidP="0085372E">
      <w:pPr>
        <w:pStyle w:val="Akapitzlist"/>
        <w:numPr>
          <w:ilvl w:val="0"/>
          <w:numId w:val="2"/>
        </w:numPr>
        <w:spacing w:after="0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E01B4D">
        <w:rPr>
          <w:rFonts w:ascii="Arial" w:eastAsia="Times New Roman" w:hAnsi="Arial" w:cs="Arial"/>
          <w:sz w:val="24"/>
          <w:szCs w:val="24"/>
          <w:lang w:eastAsia="pl-PL"/>
        </w:rPr>
        <w:t>Iwanicz</w:t>
      </w:r>
      <w:proofErr w:type="spellEnd"/>
      <w:r w:rsidRPr="00E01B4D">
        <w:rPr>
          <w:rFonts w:ascii="Arial" w:eastAsia="Times New Roman" w:hAnsi="Arial" w:cs="Arial"/>
          <w:sz w:val="24"/>
          <w:szCs w:val="24"/>
          <w:lang w:eastAsia="pl-PL"/>
        </w:rPr>
        <w:t>-Drozdowska M. (red.), Ubezpieczenia Wyd. 2, PWE, Warszawa 2018 </w:t>
      </w:r>
    </w:p>
    <w:p w:rsidR="0085372E" w:rsidRPr="00E01B4D" w:rsidRDefault="0085372E" w:rsidP="0085372E">
      <w:pPr>
        <w:pStyle w:val="Akapitzlist"/>
        <w:numPr>
          <w:ilvl w:val="0"/>
          <w:numId w:val="2"/>
        </w:numPr>
        <w:spacing w:after="0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01B4D">
        <w:rPr>
          <w:rFonts w:ascii="Arial" w:eastAsia="Times New Roman" w:hAnsi="Arial" w:cs="Arial"/>
          <w:sz w:val="24"/>
          <w:szCs w:val="24"/>
          <w:lang w:eastAsia="pl-PL"/>
        </w:rPr>
        <w:t xml:space="preserve">Garbiec R., Ubezpieczenia w teorii i praktyce część I – system ubezpieczeń społecznych, wyd.8 zaktualizowane, </w:t>
      </w:r>
      <w:proofErr w:type="spellStart"/>
      <w:r w:rsidRPr="00E01B4D">
        <w:rPr>
          <w:rFonts w:ascii="Arial" w:eastAsia="Times New Roman" w:hAnsi="Arial" w:cs="Arial"/>
          <w:sz w:val="24"/>
          <w:szCs w:val="24"/>
          <w:lang w:eastAsia="pl-PL"/>
        </w:rPr>
        <w:t>WPCz</w:t>
      </w:r>
      <w:proofErr w:type="spellEnd"/>
      <w:r w:rsidRPr="00E01B4D">
        <w:rPr>
          <w:rFonts w:ascii="Arial" w:eastAsia="Times New Roman" w:hAnsi="Arial" w:cs="Arial"/>
          <w:sz w:val="24"/>
          <w:szCs w:val="24"/>
          <w:lang w:eastAsia="pl-PL"/>
        </w:rPr>
        <w:t>, Częstochowa 2022.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uzupełniająca: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E01B4D" w:rsidRDefault="0085372E" w:rsidP="0085372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01B4D">
        <w:rPr>
          <w:rFonts w:ascii="Arial" w:eastAsia="Times New Roman" w:hAnsi="Arial" w:cs="Arial"/>
          <w:sz w:val="24"/>
          <w:szCs w:val="24"/>
          <w:lang w:eastAsia="pl-PL"/>
        </w:rPr>
        <w:t xml:space="preserve">Garbiec R., Ubezpieczenia w teorii i praktyce część II – ubezpieczenia gospodarcze i zdrowotne, wyd.5 zaktualizowane, </w:t>
      </w:r>
      <w:proofErr w:type="spellStart"/>
      <w:r w:rsidRPr="00E01B4D">
        <w:rPr>
          <w:rFonts w:ascii="Arial" w:eastAsia="Times New Roman" w:hAnsi="Arial" w:cs="Arial"/>
          <w:sz w:val="24"/>
          <w:szCs w:val="24"/>
          <w:lang w:eastAsia="pl-PL"/>
        </w:rPr>
        <w:t>WPCz</w:t>
      </w:r>
      <w:proofErr w:type="spellEnd"/>
      <w:r w:rsidRPr="00E01B4D">
        <w:rPr>
          <w:rFonts w:ascii="Arial" w:eastAsia="Times New Roman" w:hAnsi="Arial" w:cs="Arial"/>
          <w:sz w:val="24"/>
          <w:szCs w:val="24"/>
          <w:lang w:eastAsia="pl-PL"/>
        </w:rPr>
        <w:t>, Częstochowa 2022. </w:t>
      </w:r>
    </w:p>
    <w:p w:rsidR="0085372E" w:rsidRPr="00E01B4D" w:rsidRDefault="0085372E" w:rsidP="0085372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>Garbiec</w:t>
      </w:r>
      <w:proofErr w:type="spellEnd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R., The Impact of Social Reform on the Financial Effectiveness of the Polish Social Security Administration (</w:t>
      </w:r>
      <w:proofErr w:type="spellStart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>Zakład</w:t>
      </w:r>
      <w:proofErr w:type="spellEnd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>Ubezpieczeń</w:t>
      </w:r>
      <w:proofErr w:type="spellEnd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>Społecznych</w:t>
      </w:r>
      <w:proofErr w:type="spellEnd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or ZUS), Public Policy and Administration Review, </w:t>
      </w:r>
      <w:proofErr w:type="spellStart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>nr</w:t>
      </w:r>
      <w:proofErr w:type="spellEnd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> 7(1), 2019, s. 7-14. </w:t>
      </w:r>
    </w:p>
    <w:p w:rsidR="0085372E" w:rsidRPr="00080A92" w:rsidRDefault="0085372E" w:rsidP="0085372E">
      <w:pPr>
        <w:numPr>
          <w:ilvl w:val="0"/>
          <w:numId w:val="3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Ustawa z dnia 13.10.1998 roku o systemie ubezpieczeń społecznych, Dz.U. z 1998, nr 137, poz. 887 z 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>. zm. (tekst ujednolicony). </w:t>
      </w:r>
    </w:p>
    <w:p w:rsidR="0085372E" w:rsidRPr="00080A92" w:rsidRDefault="0085372E" w:rsidP="0085372E">
      <w:pPr>
        <w:numPr>
          <w:ilvl w:val="0"/>
          <w:numId w:val="3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Lemańska-Majdzik A., Okręglicka M., </w:t>
      </w:r>
      <w:r w:rsidRPr="00080A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Uwarunkowania inwestowania w nieruchomości – perspektywa makro- i mikroekonomiczna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, (w:) Korombel A. (red.), </w:t>
      </w:r>
      <w:r w:rsidRPr="00080A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Mikro- i makroekonomiczny wymiar rynku nieruchomości i inwestycji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, Politechnika Częstochowska, Częstochowa 2021, s. 9-19. </w:t>
      </w:r>
    </w:p>
    <w:p w:rsidR="0085372E" w:rsidRPr="00080A92" w:rsidRDefault="0085372E" w:rsidP="0085372E">
      <w:pPr>
        <w:numPr>
          <w:ilvl w:val="0"/>
          <w:numId w:val="3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Garbiec R. (2022), Analysis of Travel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Insurance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Conditions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in Poland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During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the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Pandemic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>, Zeszyty Naukowe Wyższej Szkoły Bankowej w Poznaniu nr 95(4), s. 13-28. </w:t>
      </w:r>
    </w:p>
    <w:p w:rsidR="0085372E" w:rsidRPr="00080A92" w:rsidRDefault="0085372E" w:rsidP="0085372E">
      <w:pPr>
        <w:numPr>
          <w:ilvl w:val="0"/>
          <w:numId w:val="3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Snieska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V.,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Navickas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V.,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Haviernikova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K., Okręglicka M.,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Gajda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W. (2020), Technical, Information and Innovation Risks of Industry 4.0 in Small and Medium-Sized Enterprises - Case of Slovakia and Poland, Journal of Business Economics and Management, Vol.21, Iss.5, s. 1269-1284. </w:t>
      </w:r>
    </w:p>
    <w:p w:rsidR="0085372E" w:rsidRPr="00080A92" w:rsidRDefault="0085372E" w:rsidP="0085372E">
      <w:pPr>
        <w:numPr>
          <w:ilvl w:val="0"/>
          <w:numId w:val="3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Okręglicka M., Lemańska-Majdzik A.,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Pichugina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M.,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Artemenko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L. (2021), Entrepreneurial Orientation and Organizational Flexibility of Small and Medium-Sized Enterprises in a Pandemic Crisis, Publishing Office of Czestochowa University of Technology,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Częstochowa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. </w:t>
      </w:r>
    </w:p>
    <w:p w:rsidR="0085372E" w:rsidRPr="00080A92" w:rsidRDefault="0085372E" w:rsidP="0085372E">
      <w:pPr>
        <w:numPr>
          <w:ilvl w:val="0"/>
          <w:numId w:val="3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80A92">
        <w:rPr>
          <w:rFonts w:ascii="Arial" w:eastAsia="Times New Roman" w:hAnsi="Arial" w:cs="Arial"/>
          <w:color w:val="050505"/>
          <w:sz w:val="24"/>
          <w:szCs w:val="24"/>
          <w:lang w:val="en-US" w:eastAsia="pl-PL"/>
        </w:rPr>
        <w:t>Kapler</w:t>
      </w:r>
      <w:proofErr w:type="spellEnd"/>
      <w:r w:rsidRPr="00080A92">
        <w:rPr>
          <w:rFonts w:ascii="Arial" w:eastAsia="Times New Roman" w:hAnsi="Arial" w:cs="Arial"/>
          <w:color w:val="050505"/>
          <w:sz w:val="24"/>
          <w:szCs w:val="24"/>
          <w:lang w:val="en-US" w:eastAsia="pl-PL"/>
        </w:rPr>
        <w:t xml:space="preserve"> M. (2021). Barriers to the Implementation of Innovations in Information Systems in SMEs. Production Engineering Archives, Vol. 27(2), pp. 156-162.</w:t>
      </w:r>
      <w:r w:rsidRPr="00080A92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numPr>
          <w:ilvl w:val="0"/>
          <w:numId w:val="3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Kadłubek M. (2022), Transport and Communication Insurance in Poland and Management of their Distribution Channels, in: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Współczesne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wyzwania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logistyki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(red.) Seroka-Stolka O.,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Ślusarczyk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B.,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Wydawnictwo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Politechniki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Częstochowskiej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, s. 73-92.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PROWADZĄCY PRZEDMIOT (IMIĘ, NAZWISKO, ADRES E-MAIL)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E01B4D" w:rsidRDefault="0085372E" w:rsidP="0085372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01B4D">
        <w:rPr>
          <w:rFonts w:ascii="Arial" w:eastAsia="Times New Roman" w:hAnsi="Arial" w:cs="Arial"/>
          <w:sz w:val="24"/>
          <w:szCs w:val="24"/>
          <w:lang w:eastAsia="pl-PL"/>
        </w:rPr>
        <w:t xml:space="preserve">Dr hab. Małgorzata Okręglicka, prof. PCz </w:t>
      </w:r>
      <w:hyperlink r:id="rId5" w:tgtFrame="_blank" w:history="1">
        <w:r w:rsidRPr="00E01B4D">
          <w:rPr>
            <w:rFonts w:ascii="Arial" w:eastAsia="Times New Roman" w:hAnsi="Arial" w:cs="Arial"/>
            <w:sz w:val="24"/>
            <w:szCs w:val="24"/>
            <w:lang w:eastAsia="pl-PL"/>
          </w:rPr>
          <w:t>malgorzata.okreglicka@pcz.pl</w:t>
        </w:r>
      </w:hyperlink>
      <w:r w:rsidRPr="00E01B4D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:rsidR="0085372E" w:rsidRPr="00E01B4D" w:rsidRDefault="0085372E" w:rsidP="0085372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01B4D">
        <w:rPr>
          <w:rFonts w:ascii="Arial" w:eastAsia="Times New Roman" w:hAnsi="Arial" w:cs="Arial"/>
          <w:sz w:val="24"/>
          <w:szCs w:val="24"/>
          <w:lang w:eastAsia="pl-PL"/>
        </w:rPr>
        <w:t xml:space="preserve">Dr hab. inż. Anna Lemańska-Majdzik, prof. PCz </w:t>
      </w:r>
      <w:hyperlink r:id="rId6" w:tgtFrame="_blank" w:history="1">
        <w:r w:rsidRPr="00E01B4D">
          <w:rPr>
            <w:rFonts w:ascii="Arial" w:eastAsia="Times New Roman" w:hAnsi="Arial" w:cs="Arial"/>
            <w:sz w:val="24"/>
            <w:szCs w:val="24"/>
            <w:lang w:eastAsia="pl-PL"/>
          </w:rPr>
          <w:t>anna.lemanska-majdzik@pcz.pl</w:t>
        </w:r>
      </w:hyperlink>
      <w:r w:rsidRPr="00E01B4D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:rsidR="0085372E" w:rsidRPr="00E01B4D" w:rsidRDefault="0085372E" w:rsidP="0085372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 xml:space="preserve">Dr Roman </w:t>
      </w:r>
      <w:proofErr w:type="spellStart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>Garbiec</w:t>
      </w:r>
      <w:proofErr w:type="spellEnd"/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</w:t>
      </w:r>
      <w:hyperlink r:id="rId7" w:tgtFrame="_blank" w:history="1">
        <w:r w:rsidRPr="00E01B4D">
          <w:rPr>
            <w:rFonts w:ascii="Arial" w:eastAsia="Times New Roman" w:hAnsi="Arial" w:cs="Arial"/>
            <w:sz w:val="24"/>
            <w:szCs w:val="24"/>
            <w:lang w:val="en-US" w:eastAsia="pl-PL"/>
          </w:rPr>
          <w:t>roman.garbiec@pcz.pl</w:t>
        </w:r>
      </w:hyperlink>
      <w:r w:rsidRPr="00E01B4D">
        <w:rPr>
          <w:rFonts w:ascii="Arial" w:eastAsia="Times New Roman" w:hAnsi="Arial" w:cs="Arial"/>
          <w:sz w:val="24"/>
          <w:szCs w:val="24"/>
          <w:lang w:val="en-US" w:eastAsia="pl-PL"/>
        </w:rPr>
        <w:t> </w:t>
      </w:r>
    </w:p>
    <w:p w:rsidR="0085372E" w:rsidRPr="00E01B4D" w:rsidRDefault="0085372E" w:rsidP="0085372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01B4D">
        <w:rPr>
          <w:rFonts w:ascii="Arial" w:eastAsia="Times New Roman" w:hAnsi="Arial" w:cs="Arial"/>
          <w:sz w:val="24"/>
          <w:szCs w:val="24"/>
          <w:lang w:eastAsia="pl-PL"/>
        </w:rPr>
        <w:t xml:space="preserve">Dr Monika </w:t>
      </w:r>
      <w:proofErr w:type="spellStart"/>
      <w:r w:rsidRPr="00E01B4D">
        <w:rPr>
          <w:rFonts w:ascii="Arial" w:eastAsia="Times New Roman" w:hAnsi="Arial" w:cs="Arial"/>
          <w:sz w:val="24"/>
          <w:szCs w:val="24"/>
          <w:lang w:eastAsia="pl-PL"/>
        </w:rPr>
        <w:t>Kapler</w:t>
      </w:r>
      <w:proofErr w:type="spellEnd"/>
      <w:r w:rsidRPr="00E01B4D">
        <w:rPr>
          <w:rFonts w:ascii="Arial" w:eastAsia="Times New Roman" w:hAnsi="Arial" w:cs="Arial"/>
          <w:sz w:val="24"/>
          <w:szCs w:val="24"/>
          <w:lang w:eastAsia="pl-PL"/>
        </w:rPr>
        <w:t>, monika.kapler@pcz.pl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MACIERZ REALIZACJI EFEKTÓW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3235"/>
        <w:gridCol w:w="1287"/>
        <w:gridCol w:w="1423"/>
        <w:gridCol w:w="1424"/>
        <w:gridCol w:w="843"/>
      </w:tblGrid>
      <w:tr w:rsidR="0085372E" w:rsidRPr="00080A92" w:rsidTr="000A25DC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Odniesienie danego efektu do efektów zdefiniowanych                    dla całego programu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Narzędzia dydaktyczne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EU1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K_U06,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W1-W3,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P1-P15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 </w:t>
            </w:r>
          </w:p>
        </w:tc>
      </w:tr>
      <w:tr w:rsidR="0085372E" w:rsidRPr="00080A92" w:rsidTr="000A25DC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EU2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K_U06,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W5-W9,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P1-P15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 </w:t>
            </w:r>
          </w:p>
        </w:tc>
      </w:tr>
      <w:tr w:rsidR="0085372E" w:rsidRPr="00080A92" w:rsidTr="000A25DC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EU3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K_U06,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W10-W11,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P1-P15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 </w:t>
            </w:r>
          </w:p>
        </w:tc>
      </w:tr>
      <w:tr w:rsidR="0085372E" w:rsidRPr="00080A92" w:rsidTr="000A25DC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EU4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K_U06,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C3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W12-W15 </w:t>
            </w:r>
          </w:p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P1-P15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5372E" w:rsidRPr="00080A92" w:rsidRDefault="0085372E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 </w:t>
            </w:r>
          </w:p>
        </w:tc>
      </w:tr>
    </w:tbl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FORMY OCENY - SZCZEGÓŁY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023"/>
        <w:gridCol w:w="1962"/>
        <w:gridCol w:w="1962"/>
        <w:gridCol w:w="2510"/>
      </w:tblGrid>
      <w:tr w:rsidR="0085372E" w:rsidRPr="00080A92" w:rsidTr="000A25DC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5372E" w:rsidRPr="00080A92" w:rsidTr="000A25DC">
        <w:trPr>
          <w:trHeight w:val="298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 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Student nie potrafi rozpoznać, wymieniać i rozróżniać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pojęć związanych z ubezpieczeniami.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Student potrafi w minimalnym stopniu rozpoznać, wymieniać i rozróżniać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pojęcia związane z ubezpieczeniami.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potrafi w zadowalającym stopniu rozpoznać, wymieniać i rozróżniać pojęcia związane z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 ubezpieczeniami.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potrafi w rozszerzonym stopniu rozpoznać, wymieniać i rozróżniać pojęcia związane z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 ubezpieczeniami. </w:t>
            </w:r>
          </w:p>
        </w:tc>
      </w:tr>
      <w:tr w:rsidR="0085372E" w:rsidRPr="00080A92" w:rsidTr="000A25DC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 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Student nie potrafi definiować i objaśniać pojęć i zasad funkcjonowania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systemu ubezpieczeń społecznych.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Student potrafi w minimalnym stopniu definiować i objaśniać pojęcia i zasady funkcjonowania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systemu ubezpieczeń społecznych.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Student potrafi w zadowalającym stopniu definiować i objaśniać pojęcia i zasady funkcjonowania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systemu ubezpieczeń społecznych.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potrafi w rozszerzonym stopniu definiować i objaśniać pojęcia i zasady funkcjonowania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systemu ubezpieczeń społecznych. </w:t>
            </w:r>
          </w:p>
        </w:tc>
      </w:tr>
      <w:tr w:rsidR="0085372E" w:rsidRPr="00080A92" w:rsidTr="000A25DC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 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Student nie potrafi definiować i </w:t>
            </w: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objaśniać pojęć i zasad funkcjonowania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systemu ubezpieczeń zdrowotnych.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Student potrafi w minimalnym </w:t>
            </w: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stopniu definiować i objaśniać pojęcia i zasady funkcjonowania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systemu ubezpieczeń zdrowotnych.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Student potrafi w zadowalającym </w:t>
            </w: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stopniu definiować i objaśniać pojęcia i zasady funkcjonowania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systemu ubezpieczeń zdrowotnych.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Student potrafi w rozszerzonym stopniu </w:t>
            </w: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definiować i objaśniać pojęcia i zasady funkcjonowania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systemu ubezpieczeń zdrowotnych. </w:t>
            </w:r>
          </w:p>
        </w:tc>
      </w:tr>
      <w:tr w:rsidR="0085372E" w:rsidRPr="00080A92" w:rsidTr="000A25DC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EU 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Student nie potrafi definiować i objaśniać pojęć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funkcjonowania ubezpieczeń majątkowych i osobowych.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potrafi w minimalnym stopniu definiować i objaśniać pojęcia </w:t>
            </w: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funkcjonowania ubezpieczeń majątkowych i osobowych.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Student potrafi w zadowalającym stopniu definiować i objaśniać pojęcia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funkcjonowania ubezpieczeń majątkowych i osobowych.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72E" w:rsidRPr="00080A92" w:rsidRDefault="0085372E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Student potrafi w rozszerzonym stopniu definiować i objaśniać pojęcia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 zakresie funkcjonowania ubezpieczeń majątkowych i osobowych. </w:t>
            </w:r>
          </w:p>
        </w:tc>
      </w:tr>
    </w:tbl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18"/>
          <w:szCs w:val="18"/>
          <w:lang w:eastAsia="pl-PL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PRZYDATNE INFORMACJE O PRZEDMIOCIE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Informacja, gdzie można zapoznać się z prezentacjami do zajęć itp. - Informacje przekazywane są na pierwszych zajęciach oraz przesyłane drogą elektroniczną na adresy poszczególnych grup dziekańskich.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na temat miejsca odbywania się zajęć - Informacje znajdują się na stronie internetowej Wydziału Zarządzania oraz w systemie USOS. 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na temat terminu zajęć (dzień tygodnia/ godzina) - Informacje znajdują się na stronie internetowej Wydziału Zarządzania oraz w systemie USOS. </w:t>
      </w:r>
    </w:p>
    <w:p w:rsidR="0085372E" w:rsidRPr="00080A92" w:rsidRDefault="0085372E" w:rsidP="0085372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na temat konsultacji (godziny + miejsce) - Informacja podawana jest na pierwszych zajęciach, dostępna jest także na stronie internetowej Wydziału Zarządzania.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11A"/>
    <w:multiLevelType w:val="hybridMultilevel"/>
    <w:tmpl w:val="3CBC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08B1"/>
    <w:multiLevelType w:val="hybridMultilevel"/>
    <w:tmpl w:val="3ADA4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489B"/>
    <w:multiLevelType w:val="hybridMultilevel"/>
    <w:tmpl w:val="3304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90E70"/>
    <w:multiLevelType w:val="hybridMultilevel"/>
    <w:tmpl w:val="16C61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2E"/>
    <w:rsid w:val="001F7928"/>
    <w:rsid w:val="008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F8D99-0E1E-49DB-9665-A46318AB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5372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853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garbiec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lemanska-majdzik@pcz.pl" TargetMode="External"/><Relationship Id="rId5" Type="http://schemas.openxmlformats.org/officeDocument/2006/relationships/hyperlink" Target="mailto:malgorzata.okreglicka@p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2025-06-23T05:27:00Z</dcterms:created>
  <dcterms:modified xsi:type="dcterms:W3CDTF">2025-06-23T05:28:00Z</dcterms:modified>
</cp:coreProperties>
</file>