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50" w:rsidRDefault="00441F50" w:rsidP="00441F5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441F50" w:rsidRDefault="00441F50" w:rsidP="00441F5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441F50" w:rsidTr="0048465F">
        <w:trPr>
          <w:trHeight w:val="567"/>
        </w:trPr>
        <w:tc>
          <w:tcPr>
            <w:tcW w:w="3984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Nazwa przedmiotu po polsku </w:t>
            </w:r>
          </w:p>
        </w:tc>
        <w:tc>
          <w:tcPr>
            <w:tcW w:w="5502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Matematyka w zarządzaniu</w:t>
            </w:r>
          </w:p>
        </w:tc>
      </w:tr>
      <w:tr w:rsidR="00441F50" w:rsidTr="0048465F">
        <w:trPr>
          <w:trHeight w:val="567"/>
        </w:trPr>
        <w:tc>
          <w:tcPr>
            <w:tcW w:w="3984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441F50" w:rsidTr="0048465F">
        <w:trPr>
          <w:trHeight w:val="567"/>
        </w:trPr>
        <w:tc>
          <w:tcPr>
            <w:tcW w:w="3984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441F50" w:rsidTr="0048465F">
        <w:trPr>
          <w:trHeight w:val="567"/>
        </w:trPr>
        <w:tc>
          <w:tcPr>
            <w:tcW w:w="3984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441F50" w:rsidTr="0048465F">
        <w:trPr>
          <w:trHeight w:val="567"/>
        </w:trPr>
        <w:tc>
          <w:tcPr>
            <w:tcW w:w="3984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441F50" w:rsidTr="0048465F">
        <w:trPr>
          <w:trHeight w:val="567"/>
        </w:trPr>
        <w:tc>
          <w:tcPr>
            <w:tcW w:w="3984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441F50" w:rsidTr="0048465F">
        <w:trPr>
          <w:trHeight w:val="567"/>
        </w:trPr>
        <w:tc>
          <w:tcPr>
            <w:tcW w:w="3984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Ekonometrii i Statystyki</w:t>
            </w:r>
          </w:p>
        </w:tc>
      </w:tr>
      <w:tr w:rsidR="00441F50" w:rsidTr="0048465F">
        <w:trPr>
          <w:trHeight w:val="567"/>
        </w:trPr>
        <w:tc>
          <w:tcPr>
            <w:tcW w:w="3984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Aneta Włodarczyk</w:t>
            </w:r>
          </w:p>
        </w:tc>
      </w:tr>
      <w:tr w:rsidR="00441F50" w:rsidTr="0048465F">
        <w:trPr>
          <w:trHeight w:val="567"/>
        </w:trPr>
        <w:tc>
          <w:tcPr>
            <w:tcW w:w="3984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41F50" w:rsidTr="0048465F">
        <w:trPr>
          <w:trHeight w:val="567"/>
        </w:trPr>
        <w:tc>
          <w:tcPr>
            <w:tcW w:w="3984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41F50" w:rsidTr="0048465F">
        <w:trPr>
          <w:trHeight w:val="567"/>
        </w:trPr>
        <w:tc>
          <w:tcPr>
            <w:tcW w:w="842" w:type="pct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41F50" w:rsidTr="0048465F">
        <w:trPr>
          <w:trHeight w:val="567"/>
        </w:trPr>
        <w:tc>
          <w:tcPr>
            <w:tcW w:w="842" w:type="pct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441F50" w:rsidRPr="00D67643" w:rsidRDefault="00441F50" w:rsidP="00441F5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67643">
        <w:rPr>
          <w:rFonts w:ascii="Arial" w:hAnsi="Arial" w:cs="Arial"/>
          <w:sz w:val="24"/>
          <w:szCs w:val="24"/>
        </w:rPr>
        <w:t>Zapoznanie studentów z podstawowymi metodami rozwiązywania zagadnień matematycznych i matematycznego formalizowania problemów z zakresu algebry i analizy matematycznej.</w:t>
      </w:r>
    </w:p>
    <w:p w:rsidR="00441F50" w:rsidRPr="00D67643" w:rsidRDefault="00441F50" w:rsidP="00441F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643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D67643">
        <w:rPr>
          <w:rFonts w:ascii="Arial" w:eastAsia="Calibri" w:hAnsi="Arial" w:cs="Arial"/>
          <w:sz w:val="24"/>
          <w:szCs w:val="24"/>
        </w:rPr>
        <w:t xml:space="preserve"> </w:t>
      </w:r>
      <w:r w:rsidRPr="00D67643">
        <w:rPr>
          <w:rFonts w:ascii="Arial" w:hAnsi="Arial" w:cs="Arial"/>
          <w:sz w:val="24"/>
          <w:szCs w:val="24"/>
        </w:rPr>
        <w:t>Nabycie przez studentów praktycznych umiejętności rozwiązywania problemów i interpretacji wyników z wybranych działów matematyki.</w:t>
      </w: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441F50" w:rsidRPr="00D67643" w:rsidRDefault="00441F50" w:rsidP="00441F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643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D67643">
        <w:rPr>
          <w:rFonts w:ascii="Arial" w:hAnsi="Arial" w:cs="Arial"/>
          <w:sz w:val="24"/>
          <w:szCs w:val="24"/>
        </w:rPr>
        <w:t>Student dysponuje wiedzą z zakresu matematyki na poziomie szkoły średniej.</w:t>
      </w:r>
    </w:p>
    <w:p w:rsidR="00441F50" w:rsidRPr="00D67643" w:rsidRDefault="00441F50" w:rsidP="00441F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643">
        <w:rPr>
          <w:rFonts w:ascii="Arial" w:eastAsia="Calibri" w:hAnsi="Arial" w:cs="Arial"/>
          <w:b/>
          <w:sz w:val="24"/>
          <w:szCs w:val="24"/>
        </w:rPr>
        <w:lastRenderedPageBreak/>
        <w:t xml:space="preserve">2. </w:t>
      </w:r>
      <w:r w:rsidRPr="00D67643">
        <w:rPr>
          <w:rFonts w:ascii="Arial" w:hAnsi="Arial" w:cs="Arial"/>
          <w:sz w:val="24"/>
          <w:szCs w:val="24"/>
        </w:rPr>
        <w:t>Student posiada umiejętność korzystania z różnych źródeł informacji, przede wszystkim podręczników.</w:t>
      </w:r>
    </w:p>
    <w:p w:rsidR="00441F50" w:rsidRPr="00D67643" w:rsidRDefault="00441F50" w:rsidP="00441F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643">
        <w:rPr>
          <w:rFonts w:ascii="Arial" w:hAnsi="Arial" w:cs="Arial"/>
          <w:b/>
          <w:sz w:val="24"/>
          <w:szCs w:val="24"/>
        </w:rPr>
        <w:t xml:space="preserve">3. </w:t>
      </w:r>
      <w:r w:rsidRPr="00D67643">
        <w:rPr>
          <w:rFonts w:ascii="Arial" w:hAnsi="Arial" w:cs="Arial"/>
          <w:sz w:val="24"/>
          <w:szCs w:val="24"/>
        </w:rPr>
        <w:t>Student wykazuje umiejętność pracy samodzielnej.</w:t>
      </w: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441F50" w:rsidRPr="006503D1" w:rsidRDefault="00441F50" w:rsidP="00441F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503D1">
        <w:rPr>
          <w:rFonts w:ascii="Arial" w:eastAsia="Calibri" w:hAnsi="Arial" w:cs="Arial"/>
          <w:b/>
          <w:sz w:val="24"/>
          <w:szCs w:val="24"/>
        </w:rPr>
        <w:t>EU 1</w:t>
      </w:r>
      <w:r w:rsidRPr="006503D1">
        <w:rPr>
          <w:rFonts w:ascii="Arial" w:eastAsia="Calibri" w:hAnsi="Arial" w:cs="Arial"/>
          <w:sz w:val="24"/>
          <w:szCs w:val="24"/>
        </w:rPr>
        <w:t xml:space="preserve"> – </w:t>
      </w:r>
      <w:r w:rsidRPr="006503D1">
        <w:rPr>
          <w:rFonts w:ascii="Arial" w:hAnsi="Arial" w:cs="Arial"/>
          <w:bCs/>
          <w:sz w:val="24"/>
          <w:szCs w:val="24"/>
        </w:rPr>
        <w:t xml:space="preserve">Student </w:t>
      </w:r>
      <w:r>
        <w:rPr>
          <w:rFonts w:ascii="Arial" w:hAnsi="Arial" w:cs="Arial"/>
          <w:bCs/>
          <w:sz w:val="24"/>
          <w:szCs w:val="24"/>
        </w:rPr>
        <w:t>odróżnia</w:t>
      </w:r>
      <w:r w:rsidRPr="006503D1">
        <w:rPr>
          <w:rFonts w:ascii="Arial" w:hAnsi="Arial" w:cs="Arial"/>
          <w:bCs/>
          <w:sz w:val="24"/>
          <w:szCs w:val="24"/>
        </w:rPr>
        <w:t xml:space="preserve"> pojęcia i wykonuje algorytmy obliczeniowe z zakresu rachunku macierzowego.</w:t>
      </w:r>
    </w:p>
    <w:p w:rsidR="00441F50" w:rsidRPr="006503D1" w:rsidRDefault="00441F50" w:rsidP="00441F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503D1">
        <w:rPr>
          <w:rFonts w:ascii="Arial" w:eastAsia="Calibri" w:hAnsi="Arial" w:cs="Arial"/>
          <w:b/>
          <w:sz w:val="24"/>
          <w:szCs w:val="24"/>
        </w:rPr>
        <w:t>EU 2</w:t>
      </w:r>
      <w:r w:rsidRPr="006503D1">
        <w:rPr>
          <w:rFonts w:ascii="Arial" w:eastAsia="Calibri" w:hAnsi="Arial" w:cs="Arial"/>
          <w:sz w:val="24"/>
          <w:szCs w:val="24"/>
        </w:rPr>
        <w:t xml:space="preserve"> – </w:t>
      </w:r>
      <w:r w:rsidRPr="006503D1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>identyfikuje typ układu równań liniowych</w:t>
      </w:r>
      <w:r w:rsidRPr="006503D1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rozwiązuje układy równań liniowych z wykorzystaniem rachunku macierzowego.</w:t>
      </w:r>
    </w:p>
    <w:p w:rsidR="00441F50" w:rsidRPr="006503D1" w:rsidRDefault="00441F50" w:rsidP="00441F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503D1">
        <w:rPr>
          <w:rFonts w:ascii="Arial" w:eastAsia="Calibri" w:hAnsi="Arial" w:cs="Arial"/>
          <w:b/>
          <w:sz w:val="24"/>
          <w:szCs w:val="24"/>
        </w:rPr>
        <w:t xml:space="preserve">EU 3 </w:t>
      </w:r>
      <w:r w:rsidRPr="008B5416">
        <w:rPr>
          <w:rFonts w:ascii="Arial" w:eastAsia="Calibri" w:hAnsi="Arial" w:cs="Arial"/>
          <w:sz w:val="24"/>
          <w:szCs w:val="24"/>
        </w:rPr>
        <w:t>–</w:t>
      </w:r>
      <w:r w:rsidRPr="006503D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503D1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>identyfikuje</w:t>
      </w:r>
      <w:r w:rsidRPr="006503D1">
        <w:rPr>
          <w:rFonts w:ascii="Arial" w:hAnsi="Arial" w:cs="Arial"/>
          <w:sz w:val="24"/>
          <w:szCs w:val="24"/>
        </w:rPr>
        <w:t xml:space="preserve"> własności funkcji jednej zmiennej</w:t>
      </w:r>
      <w:r>
        <w:rPr>
          <w:rFonts w:ascii="Arial" w:hAnsi="Arial" w:cs="Arial"/>
          <w:sz w:val="24"/>
          <w:szCs w:val="24"/>
        </w:rPr>
        <w:t xml:space="preserve"> stosując teorię granic funkcji oraz rachunek różniczkowy.</w:t>
      </w:r>
    </w:p>
    <w:p w:rsidR="00441F50" w:rsidRDefault="00441F50" w:rsidP="00441F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503D1">
        <w:rPr>
          <w:rFonts w:ascii="Arial" w:eastAsia="Calibri" w:hAnsi="Arial" w:cs="Arial"/>
          <w:b/>
          <w:sz w:val="24"/>
          <w:szCs w:val="24"/>
        </w:rPr>
        <w:t xml:space="preserve">EU 4 </w:t>
      </w:r>
      <w:r w:rsidRPr="008B5416">
        <w:rPr>
          <w:rFonts w:ascii="Arial" w:eastAsia="Calibri" w:hAnsi="Arial" w:cs="Arial"/>
          <w:sz w:val="24"/>
          <w:szCs w:val="24"/>
        </w:rPr>
        <w:t>–</w:t>
      </w:r>
      <w:r w:rsidRPr="006503D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503D1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>wykonuje podstawowe algorytmy obliczeniowe w zakresie rachunku całkowego funkcji jednej zmiennej.</w:t>
      </w:r>
    </w:p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441F50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41F50" w:rsidTr="0048465F">
        <w:tc>
          <w:tcPr>
            <w:tcW w:w="4478" w:type="pct"/>
          </w:tcPr>
          <w:p w:rsidR="00441F50" w:rsidRPr="000D47C8" w:rsidRDefault="00441F50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47C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0D47C8">
              <w:rPr>
                <w:rFonts w:ascii="Arial" w:hAnsi="Arial" w:cs="Arial"/>
                <w:sz w:val="24"/>
                <w:szCs w:val="24"/>
              </w:rPr>
              <w:t xml:space="preserve">Klasyfikacja i arytmetyka macierzy. 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1F50" w:rsidTr="0048465F">
        <w:tc>
          <w:tcPr>
            <w:tcW w:w="4478" w:type="pct"/>
          </w:tcPr>
          <w:p w:rsidR="00441F50" w:rsidRPr="000D47C8" w:rsidRDefault="00441F50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2 – W 3</w:t>
            </w:r>
            <w:r w:rsidRPr="000D47C8">
              <w:rPr>
                <w:rFonts w:ascii="Arial" w:hAnsi="Arial" w:cs="Arial"/>
                <w:sz w:val="24"/>
                <w:szCs w:val="24"/>
              </w:rPr>
              <w:t xml:space="preserve"> Wyznacznik macierzy i macierz odwrotna.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– W 5 </w:t>
            </w:r>
            <w:r w:rsidRPr="000D47C8">
              <w:rPr>
                <w:rFonts w:ascii="Arial" w:hAnsi="Arial" w:cs="Arial"/>
                <w:sz w:val="24"/>
                <w:szCs w:val="24"/>
              </w:rPr>
              <w:t>Wykorzystanie rachunku macierzowego do rozwiązywania układ</w:t>
            </w:r>
            <w:r>
              <w:rPr>
                <w:rFonts w:ascii="Arial" w:hAnsi="Arial" w:cs="Arial"/>
                <w:sz w:val="24"/>
                <w:szCs w:val="24"/>
              </w:rPr>
              <w:t>ów</w:t>
            </w:r>
            <w:r w:rsidRPr="000D47C8">
              <w:rPr>
                <w:rFonts w:ascii="Arial" w:hAnsi="Arial" w:cs="Arial"/>
                <w:sz w:val="24"/>
                <w:szCs w:val="24"/>
              </w:rPr>
              <w:t xml:space="preserve"> równań liniowych.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A94F04">
              <w:rPr>
                <w:rFonts w:ascii="Arial" w:hAnsi="Arial" w:cs="Arial"/>
                <w:sz w:val="24"/>
                <w:szCs w:val="24"/>
              </w:rPr>
              <w:t>Ciągi liczbowe. Granice ciągów liczbowych.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7 – W 8 </w:t>
            </w:r>
            <w:r w:rsidRPr="00254E6E">
              <w:rPr>
                <w:rFonts w:ascii="Arial" w:hAnsi="Arial" w:cs="Arial"/>
                <w:sz w:val="24"/>
                <w:szCs w:val="24"/>
              </w:rPr>
              <w:t>Granica funkcji jednej zmiennej. Ciągłość funkcji i własności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asymptotyczne</w:t>
            </w:r>
            <w:r w:rsidRPr="00254E6E">
              <w:rPr>
                <w:rFonts w:ascii="Arial" w:hAnsi="Arial" w:cs="Arial"/>
                <w:sz w:val="24"/>
                <w:szCs w:val="24"/>
              </w:rPr>
              <w:t xml:space="preserve"> funkcji jednej zmiennej.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9 </w:t>
            </w:r>
            <w:r>
              <w:rPr>
                <w:rFonts w:ascii="Arial" w:hAnsi="Arial" w:cs="Arial"/>
                <w:sz w:val="24"/>
                <w:szCs w:val="24"/>
              </w:rPr>
              <w:t>Definicja i interpretacja</w:t>
            </w:r>
            <w:r w:rsidRPr="00C3073D">
              <w:rPr>
                <w:rFonts w:ascii="Arial" w:hAnsi="Arial" w:cs="Arial"/>
                <w:sz w:val="24"/>
                <w:szCs w:val="24"/>
              </w:rPr>
              <w:t xml:space="preserve"> pochodn</w:t>
            </w:r>
            <w:r>
              <w:rPr>
                <w:rFonts w:ascii="Arial" w:hAnsi="Arial" w:cs="Arial"/>
                <w:sz w:val="24"/>
                <w:szCs w:val="24"/>
              </w:rPr>
              <w:t>ej funkcji jednej zmiennej</w:t>
            </w:r>
            <w:r w:rsidRPr="00C3073D">
              <w:rPr>
                <w:rFonts w:ascii="Arial" w:hAnsi="Arial" w:cs="Arial"/>
                <w:sz w:val="24"/>
                <w:szCs w:val="24"/>
              </w:rPr>
              <w:t>. Podstawowe wzory rachunku różniczkowego.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1F50" w:rsidRPr="00254E6E" w:rsidTr="0048465F">
        <w:tc>
          <w:tcPr>
            <w:tcW w:w="4478" w:type="pct"/>
          </w:tcPr>
          <w:p w:rsidR="00441F50" w:rsidRPr="00254E6E" w:rsidRDefault="00441F50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E6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</w:t>
            </w:r>
            <w:r w:rsidRPr="00254E6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254E6E">
              <w:rPr>
                <w:rFonts w:ascii="Arial" w:hAnsi="Arial" w:cs="Arial"/>
                <w:sz w:val="24"/>
                <w:szCs w:val="24"/>
              </w:rPr>
              <w:t xml:space="preserve">Reguła de </w:t>
            </w:r>
            <w:proofErr w:type="spellStart"/>
            <w:r w:rsidRPr="00254E6E">
              <w:rPr>
                <w:rFonts w:ascii="Arial" w:hAnsi="Arial" w:cs="Arial"/>
                <w:sz w:val="24"/>
                <w:szCs w:val="24"/>
              </w:rPr>
              <w:t>L’Hospitala</w:t>
            </w:r>
            <w:proofErr w:type="spellEnd"/>
            <w:r w:rsidRPr="00254E6E">
              <w:rPr>
                <w:rFonts w:ascii="Arial" w:hAnsi="Arial" w:cs="Arial"/>
                <w:sz w:val="24"/>
                <w:szCs w:val="24"/>
              </w:rPr>
              <w:t>.</w:t>
            </w:r>
            <w:r w:rsidRPr="00C3073D">
              <w:rPr>
                <w:rFonts w:ascii="Arial" w:hAnsi="Arial" w:cs="Arial"/>
                <w:sz w:val="24"/>
                <w:szCs w:val="24"/>
              </w:rPr>
              <w:t xml:space="preserve"> Zastosowanie rachunku różniczkowego w identyfikacji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D7005">
              <w:rPr>
                <w:rFonts w:ascii="Arial" w:hAnsi="Arial" w:cs="Arial"/>
                <w:sz w:val="24"/>
                <w:szCs w:val="24"/>
              </w:rPr>
              <w:t>monotoniczność funkcji, ekstrema lokalne funkcji.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– W 12 </w:t>
            </w:r>
            <w:r w:rsidRPr="00254E6E">
              <w:rPr>
                <w:rFonts w:ascii="Arial" w:hAnsi="Arial" w:cs="Arial"/>
                <w:sz w:val="24"/>
                <w:szCs w:val="24"/>
              </w:rPr>
              <w:t xml:space="preserve">Pochodne wyższych rzędów funkcji jednej zmiennej. </w:t>
            </w:r>
            <w:r w:rsidRPr="00C3073D">
              <w:rPr>
                <w:rFonts w:ascii="Arial" w:hAnsi="Arial" w:cs="Arial"/>
                <w:sz w:val="24"/>
                <w:szCs w:val="24"/>
              </w:rPr>
              <w:t>Zastosowanie rachunku różniczkowego w identyfikacji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2D7005">
              <w:rPr>
                <w:rFonts w:ascii="Arial" w:hAnsi="Arial" w:cs="Arial"/>
                <w:sz w:val="24"/>
                <w:szCs w:val="24"/>
              </w:rPr>
              <w:t xml:space="preserve"> wklęsłość i wypukłość funkcji, tempo zmian wartości funkcji.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13 – W 14 </w:t>
            </w:r>
            <w:r w:rsidRPr="00A94F04">
              <w:rPr>
                <w:rFonts w:ascii="Arial" w:hAnsi="Arial" w:cs="Arial"/>
                <w:sz w:val="24"/>
                <w:szCs w:val="24"/>
              </w:rPr>
              <w:t>Definicja i interpretacja całki nieoznaczonej funkcji jednej zmiennej. Podstawowe metody całkowania.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A94F04">
              <w:rPr>
                <w:rFonts w:ascii="Arial" w:hAnsi="Arial" w:cs="Arial"/>
                <w:sz w:val="24"/>
                <w:szCs w:val="24"/>
              </w:rPr>
              <w:t>Całka oznaczona Riemanna.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1F50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254E6E">
              <w:rPr>
                <w:rFonts w:ascii="Arial" w:hAnsi="Arial" w:cs="Arial"/>
                <w:sz w:val="24"/>
                <w:szCs w:val="24"/>
              </w:rPr>
              <w:t>Rachunek macierzowy – działania na macierzach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– CW 3 </w:t>
            </w:r>
            <w:r w:rsidRPr="00254E6E">
              <w:rPr>
                <w:rFonts w:ascii="Arial" w:hAnsi="Arial" w:cs="Arial"/>
                <w:sz w:val="24"/>
                <w:szCs w:val="24"/>
              </w:rPr>
              <w:t>Metody obliczania wyznacznika macierzy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– CW 5 </w:t>
            </w:r>
            <w:r w:rsidRPr="00254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Macierz odwrotna.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94F04">
              <w:rPr>
                <w:rFonts w:ascii="Arial" w:hAnsi="Arial" w:cs="Arial"/>
                <w:sz w:val="24"/>
                <w:szCs w:val="24"/>
              </w:rPr>
              <w:t>Rozwiązywanie równań macierzowych.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6 – CW 8 </w:t>
            </w:r>
            <w:r w:rsidRPr="00254E6E">
              <w:rPr>
                <w:rFonts w:ascii="Arial" w:hAnsi="Arial" w:cs="Arial"/>
                <w:sz w:val="24"/>
                <w:szCs w:val="24"/>
              </w:rPr>
              <w:t>Zastosowanie rachunku macierzowego do rozwiązywania układów równań liniowych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9 – CW 10 </w:t>
            </w:r>
            <w:r w:rsidRPr="005B213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Kolokwium zaliczeniowe.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 – CW 12 </w:t>
            </w:r>
            <w:r w:rsidRPr="004C3D80">
              <w:rPr>
                <w:rFonts w:ascii="Arial" w:hAnsi="Arial" w:cs="Arial"/>
                <w:sz w:val="24"/>
                <w:szCs w:val="24"/>
              </w:rPr>
              <w:t>Badanie zbieżności ciągu liczbowego.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– CW 14 </w:t>
            </w:r>
            <w:r w:rsidRPr="002D7005">
              <w:rPr>
                <w:rFonts w:ascii="Arial" w:hAnsi="Arial" w:cs="Arial"/>
                <w:sz w:val="24"/>
                <w:szCs w:val="24"/>
              </w:rPr>
              <w:t xml:space="preserve">Obliczanie granicy funkcji jednej zmiennej. 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– CW 16 </w:t>
            </w:r>
            <w:r w:rsidRPr="002D7005">
              <w:rPr>
                <w:rFonts w:ascii="Arial" w:hAnsi="Arial" w:cs="Arial"/>
                <w:sz w:val="24"/>
                <w:szCs w:val="24"/>
              </w:rPr>
              <w:t>Badanie ciągłość funkcji jednej zmiennej i identyfikacja jej własności asymptotycznych.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17 – CW 18 </w:t>
            </w:r>
            <w:r w:rsidRPr="004C3D80">
              <w:rPr>
                <w:rFonts w:ascii="Arial" w:hAnsi="Arial" w:cs="Arial"/>
                <w:sz w:val="24"/>
                <w:szCs w:val="24"/>
              </w:rPr>
              <w:t xml:space="preserve">Obliczanie pochodnych funkcji jednej zmiennej, obliczanie granic funkcji z wykorzystaniem reguły de </w:t>
            </w:r>
            <w:proofErr w:type="spellStart"/>
            <w:r w:rsidRPr="004C3D80">
              <w:rPr>
                <w:rFonts w:ascii="Arial" w:hAnsi="Arial" w:cs="Arial"/>
                <w:sz w:val="24"/>
                <w:szCs w:val="24"/>
              </w:rPr>
              <w:t>L’Hospitala</w:t>
            </w:r>
            <w:proofErr w:type="spellEnd"/>
            <w:r w:rsidRPr="004C3D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19 – CW 20 </w:t>
            </w:r>
            <w:r w:rsidRPr="00C3073D">
              <w:rPr>
                <w:rFonts w:ascii="Arial" w:hAnsi="Arial" w:cs="Arial"/>
                <w:sz w:val="24"/>
                <w:szCs w:val="24"/>
              </w:rPr>
              <w:t>Zastosowanie rachunku różniczkowego w identyfikacji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D7005">
              <w:rPr>
                <w:rFonts w:ascii="Arial" w:hAnsi="Arial" w:cs="Arial"/>
                <w:sz w:val="24"/>
                <w:szCs w:val="24"/>
              </w:rPr>
              <w:t>monotoniczność funkcji, ekstrema lokalne funkcji.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21 – CW 22 </w:t>
            </w:r>
            <w:r w:rsidRPr="002D7005">
              <w:rPr>
                <w:rFonts w:ascii="Arial" w:hAnsi="Arial" w:cs="Arial"/>
                <w:sz w:val="24"/>
                <w:szCs w:val="24"/>
              </w:rPr>
              <w:t>Druga pochodna funkcji jednej zmiennej i jej zastosowania: wklęsłość i wypukłość funkcji, tempo zmian wartości funkcji.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23 – CW 24 </w:t>
            </w:r>
            <w:r w:rsidRPr="004C3D80">
              <w:rPr>
                <w:rFonts w:ascii="Arial" w:hAnsi="Arial" w:cs="Arial"/>
                <w:sz w:val="24"/>
                <w:szCs w:val="24"/>
              </w:rPr>
              <w:t>Badanie przebiegu zmienności funkcji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529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25 – CW 26 </w:t>
            </w:r>
            <w:r w:rsidRPr="00E66B95">
              <w:rPr>
                <w:rFonts w:ascii="Arial" w:hAnsi="Arial" w:cs="Arial"/>
                <w:sz w:val="24"/>
                <w:szCs w:val="24"/>
              </w:rPr>
              <w:t>Obliczanie całki nieoznaczonej funkcji jednej zmiennej.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27 – CW 28 </w:t>
            </w:r>
            <w:r w:rsidRPr="00E66B95">
              <w:rPr>
                <w:rFonts w:ascii="Arial" w:hAnsi="Arial" w:cs="Arial"/>
                <w:sz w:val="24"/>
                <w:szCs w:val="24"/>
              </w:rPr>
              <w:t>Wykorzystanie całki oznaczonej w rozwiązywaniu zagadnień praktycznych.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441F50" w:rsidTr="0048465F">
        <w:tc>
          <w:tcPr>
            <w:tcW w:w="4478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29 – CW 30 </w:t>
            </w:r>
            <w:r w:rsidRPr="000C0F43">
              <w:rPr>
                <w:rFonts w:ascii="Arial" w:hAnsi="Arial" w:cs="Arial"/>
                <w:sz w:val="24"/>
                <w:szCs w:val="24"/>
              </w:rPr>
              <w:t>Kolokwium zaliczeniowe.</w:t>
            </w:r>
          </w:p>
        </w:tc>
        <w:tc>
          <w:tcPr>
            <w:tcW w:w="522" w:type="pct"/>
            <w:vAlign w:val="center"/>
          </w:tcPr>
          <w:p w:rsidR="00441F50" w:rsidRPr="00FA30D9" w:rsidRDefault="00441F50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441F50" w:rsidRPr="000C0F43" w:rsidRDefault="00441F50" w:rsidP="00441F5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C0F43">
        <w:rPr>
          <w:rFonts w:ascii="Arial" w:hAnsi="Arial" w:cs="Arial"/>
          <w:sz w:val="24"/>
          <w:szCs w:val="24"/>
        </w:rPr>
        <w:t xml:space="preserve">1. </w:t>
      </w:r>
      <w:r w:rsidRPr="000C0F43">
        <w:rPr>
          <w:rFonts w:ascii="Arial" w:eastAsia="Times New Roman" w:hAnsi="Arial" w:cs="Arial"/>
          <w:sz w:val="24"/>
          <w:szCs w:val="24"/>
          <w:lang w:eastAsia="pl-PL"/>
        </w:rPr>
        <w:t>Sprzęt audiowizualny.</w:t>
      </w:r>
    </w:p>
    <w:p w:rsidR="00441F50" w:rsidRPr="000C0F43" w:rsidRDefault="00441F50" w:rsidP="00441F5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C0F43">
        <w:rPr>
          <w:rFonts w:ascii="Arial" w:hAnsi="Arial" w:cs="Arial"/>
          <w:sz w:val="24"/>
          <w:szCs w:val="24"/>
        </w:rPr>
        <w:t>2. Tablica, kreda, markery.</w:t>
      </w:r>
    </w:p>
    <w:p w:rsidR="00441F50" w:rsidRPr="000C0F43" w:rsidRDefault="00441F50" w:rsidP="00441F5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C0F43">
        <w:rPr>
          <w:rFonts w:ascii="Arial" w:hAnsi="Arial" w:cs="Arial"/>
          <w:sz w:val="24"/>
          <w:szCs w:val="24"/>
        </w:rPr>
        <w:t>3. Platforma e-learningowa PCz.</w:t>
      </w:r>
    </w:p>
    <w:p w:rsidR="00441F50" w:rsidRPr="000C0F43" w:rsidRDefault="00441F50" w:rsidP="00441F5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C0F43">
        <w:rPr>
          <w:rFonts w:ascii="Arial" w:hAnsi="Arial" w:cs="Arial"/>
          <w:sz w:val="24"/>
          <w:szCs w:val="24"/>
        </w:rPr>
        <w:lastRenderedPageBreak/>
        <w:t>4. Materiały przygotowane przez prowadzącego przedmiot, podręczniki, artykuły naukowe.</w:t>
      </w: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441F50" w:rsidRPr="00656EED" w:rsidRDefault="00441F50" w:rsidP="00441F5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0FA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>
        <w:rPr>
          <w:rFonts w:ascii="Arial" w:eastAsia="Calibri" w:hAnsi="Arial" w:cs="Arial"/>
          <w:sz w:val="24"/>
          <w:lang w:eastAsia="pl-PL"/>
        </w:rPr>
        <w:t>Udział w dyskusji (aktywność na zajęciach)</w:t>
      </w:r>
    </w:p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Kolokwium.</w:t>
      </w:r>
    </w:p>
    <w:p w:rsidR="00441F50" w:rsidRDefault="00441F50" w:rsidP="00441F5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41F50" w:rsidTr="0048465F">
        <w:tc>
          <w:tcPr>
            <w:tcW w:w="3285" w:type="pct"/>
            <w:vMerge w:val="restart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41F50" w:rsidTr="0048465F">
        <w:trPr>
          <w:trHeight w:val="108"/>
        </w:trPr>
        <w:tc>
          <w:tcPr>
            <w:tcW w:w="3285" w:type="pct"/>
            <w:vMerge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41F50" w:rsidTr="0048465F">
        <w:tc>
          <w:tcPr>
            <w:tcW w:w="3285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441F50" w:rsidTr="0048465F">
        <w:tc>
          <w:tcPr>
            <w:tcW w:w="3285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441F50" w:rsidTr="0048465F">
        <w:tc>
          <w:tcPr>
            <w:tcW w:w="3285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441F50" w:rsidTr="0048465F">
        <w:tc>
          <w:tcPr>
            <w:tcW w:w="3285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441F50" w:rsidTr="0048465F">
        <w:tc>
          <w:tcPr>
            <w:tcW w:w="3285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441F50" w:rsidTr="0048465F">
        <w:tc>
          <w:tcPr>
            <w:tcW w:w="3285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441F50" w:rsidRPr="00107DF2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07DF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441F50" w:rsidRPr="00107DF2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07DF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441F50" w:rsidTr="0048465F">
        <w:tc>
          <w:tcPr>
            <w:tcW w:w="3285" w:type="pct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441F50" w:rsidRDefault="00441F50" w:rsidP="00441F50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441F50" w:rsidRPr="00107DF2" w:rsidRDefault="00441F50" w:rsidP="00441F50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 w:rsidRPr="00107DF2">
        <w:rPr>
          <w:rFonts w:ascii="Arial" w:hAnsi="Arial" w:cs="Arial"/>
          <w:sz w:val="24"/>
          <w:szCs w:val="24"/>
        </w:rPr>
        <w:t>Jurlewicz</w:t>
      </w:r>
      <w:proofErr w:type="spellEnd"/>
      <w:r w:rsidRPr="00107DF2">
        <w:rPr>
          <w:rFonts w:ascii="Arial" w:hAnsi="Arial" w:cs="Arial"/>
          <w:sz w:val="24"/>
          <w:szCs w:val="24"/>
        </w:rPr>
        <w:t xml:space="preserve">, T., Skoczylas, Z., Algebra liniowa 1,  Oficyna Wydawnicza </w:t>
      </w:r>
      <w:proofErr w:type="spellStart"/>
      <w:r w:rsidRPr="00107DF2">
        <w:rPr>
          <w:rFonts w:ascii="Arial" w:hAnsi="Arial" w:cs="Arial"/>
          <w:sz w:val="24"/>
          <w:szCs w:val="24"/>
        </w:rPr>
        <w:t>GiS</w:t>
      </w:r>
      <w:proofErr w:type="spellEnd"/>
      <w:r w:rsidRPr="00107DF2">
        <w:rPr>
          <w:rFonts w:ascii="Arial" w:hAnsi="Arial" w:cs="Arial"/>
          <w:sz w:val="24"/>
          <w:szCs w:val="24"/>
        </w:rPr>
        <w:t>, Wrocław 2001.</w:t>
      </w:r>
    </w:p>
    <w:p w:rsidR="00441F50" w:rsidRPr="00107DF2" w:rsidRDefault="00441F50" w:rsidP="00441F50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107DF2">
        <w:rPr>
          <w:rFonts w:ascii="Arial" w:hAnsi="Arial" w:cs="Arial"/>
          <w:sz w:val="24"/>
          <w:szCs w:val="24"/>
        </w:rPr>
        <w:t>2.</w:t>
      </w:r>
      <w:r w:rsidRPr="00107DF2">
        <w:rPr>
          <w:rFonts w:ascii="Arial" w:hAnsi="Arial" w:cs="Arial"/>
          <w:sz w:val="24"/>
          <w:szCs w:val="24"/>
        </w:rPr>
        <w:tab/>
      </w:r>
      <w:proofErr w:type="spellStart"/>
      <w:r w:rsidRPr="00107DF2">
        <w:rPr>
          <w:rFonts w:ascii="Arial" w:hAnsi="Arial" w:cs="Arial"/>
          <w:sz w:val="24"/>
          <w:szCs w:val="24"/>
        </w:rPr>
        <w:t>Gewert</w:t>
      </w:r>
      <w:proofErr w:type="spellEnd"/>
      <w:r w:rsidRPr="00107DF2">
        <w:rPr>
          <w:rFonts w:ascii="Arial" w:hAnsi="Arial" w:cs="Arial"/>
          <w:sz w:val="24"/>
          <w:szCs w:val="24"/>
        </w:rPr>
        <w:t xml:space="preserve">, M., Skoczylas, Z., Analiza matematyczna 1,  Oficyna Wydawnicza </w:t>
      </w:r>
      <w:proofErr w:type="spellStart"/>
      <w:r w:rsidRPr="00107DF2">
        <w:rPr>
          <w:rFonts w:ascii="Arial" w:hAnsi="Arial" w:cs="Arial"/>
          <w:sz w:val="24"/>
          <w:szCs w:val="24"/>
        </w:rPr>
        <w:t>GiS</w:t>
      </w:r>
      <w:proofErr w:type="spellEnd"/>
      <w:r w:rsidRPr="00107DF2">
        <w:rPr>
          <w:rFonts w:ascii="Arial" w:hAnsi="Arial" w:cs="Arial"/>
          <w:sz w:val="24"/>
          <w:szCs w:val="24"/>
        </w:rPr>
        <w:t>, Wrocław, 2017.</w:t>
      </w:r>
    </w:p>
    <w:p w:rsidR="00441F50" w:rsidRPr="00107DF2" w:rsidRDefault="00441F50" w:rsidP="00441F50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107DF2">
        <w:rPr>
          <w:rFonts w:ascii="Arial" w:hAnsi="Arial" w:cs="Arial"/>
          <w:sz w:val="24"/>
          <w:szCs w:val="24"/>
        </w:rPr>
        <w:t>3.</w:t>
      </w:r>
      <w:r w:rsidRPr="00107DF2">
        <w:rPr>
          <w:rFonts w:ascii="Arial" w:hAnsi="Arial" w:cs="Arial"/>
          <w:sz w:val="24"/>
          <w:szCs w:val="24"/>
        </w:rPr>
        <w:tab/>
      </w:r>
      <w:proofErr w:type="spellStart"/>
      <w:r w:rsidRPr="00107DF2">
        <w:rPr>
          <w:rFonts w:ascii="Arial" w:hAnsi="Arial" w:cs="Arial"/>
          <w:sz w:val="24"/>
          <w:szCs w:val="24"/>
        </w:rPr>
        <w:t>Gewert</w:t>
      </w:r>
      <w:proofErr w:type="spellEnd"/>
      <w:r w:rsidRPr="00107DF2">
        <w:rPr>
          <w:rFonts w:ascii="Arial" w:hAnsi="Arial" w:cs="Arial"/>
          <w:sz w:val="24"/>
          <w:szCs w:val="24"/>
        </w:rPr>
        <w:t xml:space="preserve">, M., Skoczylas, Z., Analiza matematyczna 2,  Oficyna Wydawnicza </w:t>
      </w:r>
      <w:proofErr w:type="spellStart"/>
      <w:r w:rsidRPr="00107DF2">
        <w:rPr>
          <w:rFonts w:ascii="Arial" w:hAnsi="Arial" w:cs="Arial"/>
          <w:sz w:val="24"/>
          <w:szCs w:val="24"/>
        </w:rPr>
        <w:t>GiS</w:t>
      </w:r>
      <w:proofErr w:type="spellEnd"/>
      <w:r w:rsidRPr="00107DF2">
        <w:rPr>
          <w:rFonts w:ascii="Arial" w:hAnsi="Arial" w:cs="Arial"/>
          <w:sz w:val="24"/>
          <w:szCs w:val="24"/>
        </w:rPr>
        <w:t>, Wrocław, 2006.</w:t>
      </w:r>
    </w:p>
    <w:p w:rsidR="00441F50" w:rsidRPr="00107DF2" w:rsidRDefault="00441F50" w:rsidP="00441F50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107DF2">
        <w:rPr>
          <w:rFonts w:ascii="Arial" w:hAnsi="Arial" w:cs="Arial"/>
          <w:sz w:val="24"/>
          <w:szCs w:val="24"/>
        </w:rPr>
        <w:t>4.</w:t>
      </w:r>
      <w:r w:rsidRPr="00107DF2">
        <w:rPr>
          <w:rFonts w:ascii="Arial" w:hAnsi="Arial" w:cs="Arial"/>
          <w:sz w:val="24"/>
          <w:szCs w:val="24"/>
        </w:rPr>
        <w:tab/>
      </w:r>
      <w:proofErr w:type="spellStart"/>
      <w:r w:rsidRPr="00107DF2">
        <w:rPr>
          <w:rFonts w:ascii="Arial" w:hAnsi="Arial" w:cs="Arial"/>
          <w:sz w:val="24"/>
          <w:szCs w:val="24"/>
        </w:rPr>
        <w:t>Krysicki</w:t>
      </w:r>
      <w:proofErr w:type="spellEnd"/>
      <w:r w:rsidRPr="00107DF2">
        <w:rPr>
          <w:rFonts w:ascii="Arial" w:hAnsi="Arial" w:cs="Arial"/>
          <w:sz w:val="24"/>
          <w:szCs w:val="24"/>
        </w:rPr>
        <w:t xml:space="preserve">, W., Włodarski, L., Analiza matematyczna w zadaniach, Wydawnictwo Naukowe PWN, Warszawa, </w:t>
      </w:r>
      <w:r>
        <w:rPr>
          <w:rFonts w:ascii="Arial" w:hAnsi="Arial" w:cs="Arial"/>
          <w:sz w:val="24"/>
          <w:szCs w:val="24"/>
        </w:rPr>
        <w:t>2015</w:t>
      </w:r>
      <w:r w:rsidRPr="00107DF2">
        <w:rPr>
          <w:rFonts w:ascii="Arial" w:hAnsi="Arial" w:cs="Arial"/>
          <w:sz w:val="24"/>
          <w:szCs w:val="24"/>
        </w:rPr>
        <w:t>.</w:t>
      </w:r>
    </w:p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Literatura uzupełniająca:</w:t>
      </w:r>
    </w:p>
    <w:p w:rsidR="00441F50" w:rsidRPr="00480215" w:rsidRDefault="00441F50" w:rsidP="00441F50">
      <w:pPr>
        <w:spacing w:after="0" w:line="360" w:lineRule="auto"/>
        <w:ind w:left="227" w:hanging="227"/>
        <w:rPr>
          <w:rFonts w:ascii="Arial" w:hAnsi="Arial" w:cs="Arial"/>
          <w:sz w:val="24"/>
          <w:szCs w:val="24"/>
        </w:rPr>
      </w:pPr>
      <w:r w:rsidRPr="00480215">
        <w:rPr>
          <w:rFonts w:ascii="Arial" w:eastAsia="Calibri" w:hAnsi="Arial" w:cs="Arial"/>
          <w:bCs/>
          <w:sz w:val="24"/>
          <w:szCs w:val="24"/>
        </w:rPr>
        <w:t xml:space="preserve">1. </w:t>
      </w:r>
      <w:r w:rsidRPr="00480215">
        <w:rPr>
          <w:rFonts w:ascii="Arial" w:hAnsi="Arial" w:cs="Arial"/>
          <w:sz w:val="24"/>
          <w:szCs w:val="24"/>
        </w:rPr>
        <w:t xml:space="preserve">Gurgul H, Suder M. </w:t>
      </w:r>
      <w:r w:rsidRPr="00480215">
        <w:rPr>
          <w:rFonts w:ascii="Arial" w:hAnsi="Arial" w:cs="Arial"/>
          <w:i/>
          <w:sz w:val="24"/>
          <w:szCs w:val="24"/>
        </w:rPr>
        <w:t xml:space="preserve">Matematyka dla kierunków ekonomicznych. </w:t>
      </w:r>
      <w:r w:rsidRPr="00480215">
        <w:rPr>
          <w:rFonts w:ascii="Arial" w:hAnsi="Arial" w:cs="Arial"/>
          <w:sz w:val="24"/>
          <w:szCs w:val="24"/>
        </w:rPr>
        <w:t>Wyd. Nieoczywiste, Warszawa 2020</w:t>
      </w:r>
      <w:r>
        <w:rPr>
          <w:rFonts w:ascii="Arial" w:hAnsi="Arial" w:cs="Arial"/>
          <w:sz w:val="24"/>
          <w:szCs w:val="24"/>
        </w:rPr>
        <w:t>.</w:t>
      </w:r>
    </w:p>
    <w:p w:rsidR="00441F50" w:rsidRPr="00480215" w:rsidRDefault="00441F50" w:rsidP="00441F50">
      <w:pPr>
        <w:spacing w:after="0" w:line="360" w:lineRule="auto"/>
        <w:ind w:left="227" w:hanging="22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2. </w:t>
      </w:r>
      <w:r w:rsidRPr="008E663C">
        <w:rPr>
          <w:rFonts w:ascii="Arial" w:hAnsi="Arial" w:cs="Arial"/>
          <w:sz w:val="24"/>
          <w:szCs w:val="24"/>
        </w:rPr>
        <w:t>Szopa H., Matematyka dla studentów Wydziału Zarządzania, Wydawnictwo Politechniki Częstochowskiej, Częstochowa 2005.</w:t>
      </w:r>
    </w:p>
    <w:p w:rsidR="00441F50" w:rsidRPr="007A3947" w:rsidRDefault="00441F50" w:rsidP="00441F50">
      <w:pPr>
        <w:spacing w:after="0" w:line="360" w:lineRule="auto"/>
        <w:ind w:left="227" w:hanging="227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>
        <w:rPr>
          <w:rFonts w:ascii="Arial" w:eastAsia="Calibri" w:hAnsi="Arial" w:cs="Arial"/>
          <w:bCs/>
          <w:sz w:val="24"/>
          <w:szCs w:val="24"/>
          <w:lang w:val="en-GB"/>
        </w:rPr>
        <w:t>3</w:t>
      </w:r>
      <w:r w:rsidRPr="007A3947">
        <w:rPr>
          <w:rFonts w:ascii="Arial" w:eastAsia="Calibri" w:hAnsi="Arial" w:cs="Arial"/>
          <w:bCs/>
          <w:sz w:val="24"/>
          <w:szCs w:val="24"/>
          <w:lang w:val="en-GB"/>
        </w:rPr>
        <w:t>. Trench, W. F., Introduction t</w:t>
      </w: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o Real Analysis, Free Edition 1.04, April 2010. </w:t>
      </w:r>
      <w:r w:rsidRPr="00480215">
        <w:rPr>
          <w:rFonts w:ascii="Arial" w:eastAsia="Calibri" w:hAnsi="Arial" w:cs="Arial"/>
          <w:bCs/>
          <w:sz w:val="24"/>
          <w:szCs w:val="24"/>
          <w:lang w:val="en-GB"/>
        </w:rPr>
        <w:t>https://web.williams.edu/Mathematics/sjmiller/public_html/1/handouts/TRENCH_REAL_ANALYSIS.pdf</w:t>
      </w:r>
    </w:p>
    <w:p w:rsidR="00441F50" w:rsidRPr="003B1DFB" w:rsidRDefault="00441F50" w:rsidP="00441F50">
      <w:pPr>
        <w:spacing w:after="0" w:line="360" w:lineRule="auto"/>
        <w:ind w:left="227" w:hanging="227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 w:rsidRPr="008D722F">
        <w:rPr>
          <w:rFonts w:ascii="Arial" w:eastAsia="Calibri" w:hAnsi="Arial" w:cs="Arial"/>
          <w:bCs/>
          <w:sz w:val="24"/>
          <w:szCs w:val="24"/>
          <w:lang w:val="en-GB"/>
        </w:rPr>
        <w:t xml:space="preserve">4. </w:t>
      </w:r>
      <w:proofErr w:type="spellStart"/>
      <w:r w:rsidRPr="003B1DFB">
        <w:rPr>
          <w:rFonts w:ascii="Arial" w:hAnsi="Arial" w:cs="Arial"/>
          <w:sz w:val="24"/>
          <w:szCs w:val="24"/>
          <w:lang w:val="en-US"/>
        </w:rPr>
        <w:t>Noga</w:t>
      </w:r>
      <w:proofErr w:type="spellEnd"/>
      <w:r w:rsidRPr="003B1DFB">
        <w:rPr>
          <w:rFonts w:ascii="Arial" w:hAnsi="Arial" w:cs="Arial"/>
          <w:sz w:val="24"/>
          <w:szCs w:val="24"/>
          <w:lang w:val="en-US"/>
        </w:rPr>
        <w:t xml:space="preserve"> A., </w:t>
      </w:r>
      <w:proofErr w:type="spellStart"/>
      <w:r w:rsidRPr="003B1DFB">
        <w:rPr>
          <w:rFonts w:ascii="Arial" w:hAnsi="Arial" w:cs="Arial"/>
          <w:sz w:val="24"/>
          <w:szCs w:val="24"/>
          <w:lang w:val="en-US"/>
        </w:rPr>
        <w:t>Borkowski</w:t>
      </w:r>
      <w:proofErr w:type="spellEnd"/>
      <w:r w:rsidRPr="003B1DFB">
        <w:rPr>
          <w:rFonts w:ascii="Arial" w:hAnsi="Arial" w:cs="Arial"/>
          <w:sz w:val="24"/>
          <w:szCs w:val="24"/>
          <w:lang w:val="en-US"/>
        </w:rPr>
        <w:t xml:space="preserve"> S., 2015, </w:t>
      </w:r>
      <w:r w:rsidRPr="003B1DFB">
        <w:rPr>
          <w:rFonts w:ascii="Arial" w:eastAsia="Times New Roman" w:hAnsi="Arial" w:cs="Arial"/>
          <w:i/>
          <w:sz w:val="24"/>
          <w:szCs w:val="24"/>
          <w:lang w:val="en-US" w:eastAsia="pl-PL"/>
        </w:rPr>
        <w:t>Testing of Technological Processes with the Use of 3x3 Matrix and Topological Metric</w:t>
      </w:r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</w:t>
      </w:r>
      <w:r w:rsidRPr="003B1DFB">
        <w:rPr>
          <w:rFonts w:ascii="Arial" w:eastAsia="Times New Roman" w:hAnsi="Arial" w:cs="Arial"/>
          <w:sz w:val="24"/>
          <w:szCs w:val="24"/>
          <w:lang w:val="en-US"/>
        </w:rPr>
        <w:t>[w:]</w:t>
      </w:r>
      <w:r w:rsidRPr="003B1DF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1DFB">
        <w:rPr>
          <w:rFonts w:ascii="Arial" w:hAnsi="Arial" w:cs="Arial"/>
          <w:sz w:val="24"/>
          <w:szCs w:val="24"/>
          <w:lang w:val="en-US"/>
        </w:rPr>
        <w:t>Borkowski</w:t>
      </w:r>
      <w:proofErr w:type="spellEnd"/>
      <w:r w:rsidRPr="003B1DFB">
        <w:rPr>
          <w:rFonts w:ascii="Arial" w:hAnsi="Arial" w:cs="Arial"/>
          <w:sz w:val="24"/>
          <w:szCs w:val="24"/>
          <w:lang w:val="en-US"/>
        </w:rPr>
        <w:t xml:space="preserve"> S., Rosak-Szyrocka J.(red.), </w:t>
      </w:r>
      <w:r w:rsidRPr="003B1DFB">
        <w:rPr>
          <w:rFonts w:ascii="Arial" w:eastAsia="Times New Roman" w:hAnsi="Arial" w:cs="Arial"/>
          <w:i/>
          <w:sz w:val="24"/>
          <w:szCs w:val="24"/>
          <w:lang w:val="en-US" w:eastAsia="pl-PL"/>
        </w:rPr>
        <w:t>Significance of Human Resources and Strategy in Organization Improvement</w:t>
      </w:r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Croatian Quality Managers Society / </w:t>
      </w:r>
      <w:proofErr w:type="spellStart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>Hrvatsko</w:t>
      </w:r>
      <w:proofErr w:type="spellEnd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>Drustvo</w:t>
      </w:r>
      <w:proofErr w:type="spellEnd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>Menadzera</w:t>
      </w:r>
      <w:proofErr w:type="spellEnd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>Kvalitete</w:t>
      </w:r>
      <w:proofErr w:type="spellEnd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>, Zagreb.</w:t>
      </w:r>
    </w:p>
    <w:p w:rsidR="00441F50" w:rsidRPr="00480215" w:rsidRDefault="00441F50" w:rsidP="00441F50">
      <w:pPr>
        <w:spacing w:after="0" w:line="360" w:lineRule="auto"/>
        <w:ind w:left="227" w:hanging="227"/>
        <w:rPr>
          <w:rFonts w:ascii="Arial" w:hAnsi="Arial" w:cs="Arial"/>
          <w:sz w:val="24"/>
          <w:szCs w:val="24"/>
        </w:rPr>
      </w:pPr>
      <w:r w:rsidRPr="00480215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480215">
        <w:rPr>
          <w:rFonts w:ascii="Arial" w:hAnsi="Arial" w:cs="Arial"/>
          <w:sz w:val="24"/>
          <w:szCs w:val="24"/>
        </w:rPr>
        <w:t>Nieszporska</w:t>
      </w:r>
      <w:proofErr w:type="spellEnd"/>
      <w:r w:rsidRPr="00480215">
        <w:rPr>
          <w:rFonts w:ascii="Arial" w:hAnsi="Arial" w:cs="Arial"/>
          <w:sz w:val="24"/>
          <w:szCs w:val="24"/>
        </w:rPr>
        <w:t xml:space="preserve"> S., Suchecka J., </w:t>
      </w:r>
      <w:r w:rsidRPr="0019146D">
        <w:rPr>
          <w:rFonts w:ascii="Arial" w:hAnsi="Arial" w:cs="Arial"/>
          <w:i/>
          <w:sz w:val="24"/>
          <w:szCs w:val="24"/>
        </w:rPr>
        <w:t>Koncepcja ryzyka w kontekście funkcji użyteczności</w:t>
      </w:r>
      <w:r w:rsidRPr="00480215">
        <w:rPr>
          <w:rFonts w:ascii="Arial" w:hAnsi="Arial" w:cs="Arial"/>
          <w:sz w:val="24"/>
          <w:szCs w:val="24"/>
        </w:rPr>
        <w:t>, Zeszyty Naukowe Politechniki Częstochowskiej. Zarządzanie nr 19, Częstochowa 2015, s.103-115.</w:t>
      </w:r>
    </w:p>
    <w:p w:rsidR="00441F50" w:rsidRPr="00480215" w:rsidRDefault="00441F50" w:rsidP="00441F50">
      <w:pPr>
        <w:spacing w:after="0" w:line="360" w:lineRule="auto"/>
        <w:ind w:left="227" w:hanging="227"/>
        <w:rPr>
          <w:rFonts w:ascii="Arial" w:hAnsi="Arial" w:cs="Arial"/>
          <w:sz w:val="24"/>
          <w:szCs w:val="24"/>
        </w:rPr>
      </w:pPr>
      <w:r w:rsidRPr="00480215">
        <w:rPr>
          <w:rFonts w:ascii="Arial" w:hAnsi="Arial" w:cs="Arial"/>
          <w:sz w:val="24"/>
          <w:szCs w:val="24"/>
        </w:rPr>
        <w:t xml:space="preserve">6. Włodarczyk A., Skrodzka W., </w:t>
      </w:r>
      <w:r w:rsidRPr="0019146D">
        <w:rPr>
          <w:rFonts w:ascii="Arial" w:hAnsi="Arial" w:cs="Arial"/>
          <w:i/>
          <w:sz w:val="24"/>
          <w:szCs w:val="24"/>
        </w:rPr>
        <w:t xml:space="preserve">Modelowanie procesów decyzyjnych na rynku funduszy inwestycyjnych z wykorzystaniem przełącznikowego modelu </w:t>
      </w:r>
      <w:proofErr w:type="spellStart"/>
      <w:r w:rsidRPr="0019146D">
        <w:rPr>
          <w:rFonts w:ascii="Arial" w:hAnsi="Arial" w:cs="Arial"/>
          <w:i/>
          <w:sz w:val="24"/>
          <w:szCs w:val="24"/>
        </w:rPr>
        <w:t>Treynora-Mazury’ego</w:t>
      </w:r>
      <w:proofErr w:type="spellEnd"/>
      <w:r w:rsidRPr="00480215">
        <w:rPr>
          <w:rFonts w:ascii="Arial" w:hAnsi="Arial" w:cs="Arial"/>
          <w:sz w:val="24"/>
          <w:szCs w:val="24"/>
        </w:rPr>
        <w:t>, Prace i Materiały Wydziału Zarządzania Uniwersytetu Gdańskiego, „Zarządzanie i Finanse”,  vol. 11, nr 4/2013</w:t>
      </w:r>
      <w:r>
        <w:rPr>
          <w:rFonts w:ascii="Arial" w:hAnsi="Arial" w:cs="Arial"/>
          <w:sz w:val="24"/>
          <w:szCs w:val="24"/>
        </w:rPr>
        <w:t>.</w:t>
      </w:r>
      <w:r w:rsidRPr="00480215">
        <w:rPr>
          <w:rFonts w:ascii="Arial" w:hAnsi="Arial" w:cs="Arial"/>
          <w:sz w:val="24"/>
          <w:szCs w:val="24"/>
        </w:rPr>
        <w:t xml:space="preserve"> </w:t>
      </w:r>
    </w:p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441F50" w:rsidRDefault="00441F50" w:rsidP="00441F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C47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E50C47">
        <w:rPr>
          <w:rFonts w:ascii="Arial" w:hAnsi="Arial" w:cs="Arial"/>
          <w:sz w:val="24"/>
          <w:szCs w:val="24"/>
        </w:rPr>
        <w:t xml:space="preserve"> dr</w:t>
      </w:r>
      <w:r>
        <w:rPr>
          <w:rFonts w:ascii="Arial" w:hAnsi="Arial" w:cs="Arial"/>
          <w:sz w:val="24"/>
          <w:szCs w:val="24"/>
        </w:rPr>
        <w:t xml:space="preserve"> hab.</w:t>
      </w:r>
      <w:r w:rsidRPr="00E50C47">
        <w:rPr>
          <w:rFonts w:ascii="Arial" w:hAnsi="Arial" w:cs="Arial"/>
          <w:sz w:val="24"/>
          <w:szCs w:val="24"/>
        </w:rPr>
        <w:t xml:space="preserve"> Sylwia </w:t>
      </w:r>
      <w:proofErr w:type="spellStart"/>
      <w:r w:rsidRPr="00E50C47">
        <w:rPr>
          <w:rFonts w:ascii="Arial" w:hAnsi="Arial" w:cs="Arial"/>
          <w:sz w:val="24"/>
          <w:szCs w:val="24"/>
        </w:rPr>
        <w:t>Nieszporska</w:t>
      </w:r>
      <w:proofErr w:type="spellEnd"/>
      <w:r w:rsidRPr="00E50C47">
        <w:rPr>
          <w:rFonts w:ascii="Arial" w:hAnsi="Arial" w:cs="Arial"/>
          <w:sz w:val="24"/>
          <w:szCs w:val="24"/>
        </w:rPr>
        <w:t xml:space="preserve">, </w:t>
      </w:r>
      <w:r w:rsidRPr="00F5062C">
        <w:rPr>
          <w:rFonts w:ascii="Arial" w:hAnsi="Arial" w:cs="Arial"/>
          <w:sz w:val="24"/>
          <w:szCs w:val="24"/>
        </w:rPr>
        <w:t>sylwia.nieszporska@pcz.pl</w:t>
      </w:r>
    </w:p>
    <w:p w:rsidR="00441F50" w:rsidRPr="00E50C47" w:rsidRDefault="00441F50" w:rsidP="00441F5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</w:t>
      </w:r>
      <w:r w:rsidRPr="00E50C47">
        <w:rPr>
          <w:rFonts w:ascii="Arial" w:hAnsi="Arial" w:cs="Arial"/>
          <w:sz w:val="24"/>
          <w:szCs w:val="24"/>
        </w:rPr>
        <w:t>r Agnieszka Noga</w:t>
      </w:r>
      <w:r>
        <w:rPr>
          <w:rFonts w:ascii="Arial" w:hAnsi="Arial" w:cs="Arial"/>
          <w:sz w:val="24"/>
          <w:szCs w:val="24"/>
        </w:rPr>
        <w:t>,</w:t>
      </w:r>
      <w:r w:rsidRPr="00E50C47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E50C47">
          <w:rPr>
            <w:rFonts w:ascii="Arial" w:hAnsi="Arial" w:cs="Arial"/>
            <w:sz w:val="24"/>
            <w:szCs w:val="24"/>
          </w:rPr>
          <w:t>agnieszka.noga@pcz.pl</w:t>
        </w:r>
      </w:hyperlink>
    </w:p>
    <w:p w:rsidR="00441F50" w:rsidRPr="00E50C47" w:rsidRDefault="00441F50" w:rsidP="00441F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C47">
        <w:rPr>
          <w:rFonts w:ascii="Arial" w:hAnsi="Arial" w:cs="Arial"/>
          <w:sz w:val="24"/>
          <w:szCs w:val="24"/>
        </w:rPr>
        <w:t>3. dr Wioletta Skrodzka</w:t>
      </w:r>
      <w:r>
        <w:rPr>
          <w:rFonts w:ascii="Arial" w:hAnsi="Arial" w:cs="Arial"/>
          <w:sz w:val="24"/>
          <w:szCs w:val="24"/>
        </w:rPr>
        <w:t>,</w:t>
      </w:r>
      <w:r w:rsidRPr="00E50C47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E50C47">
          <w:rPr>
            <w:rFonts w:ascii="Arial" w:hAnsi="Arial" w:cs="Arial"/>
            <w:sz w:val="24"/>
            <w:szCs w:val="24"/>
          </w:rPr>
          <w:t>wioletta.skrodzka@pcz.pl</w:t>
        </w:r>
      </w:hyperlink>
      <w:r w:rsidRPr="00E50C47">
        <w:rPr>
          <w:rFonts w:ascii="Arial" w:hAnsi="Arial" w:cs="Arial"/>
          <w:sz w:val="24"/>
          <w:szCs w:val="24"/>
        </w:rPr>
        <w:t xml:space="preserve"> </w:t>
      </w:r>
    </w:p>
    <w:p w:rsidR="00441F50" w:rsidRPr="00E50C47" w:rsidRDefault="00441F50" w:rsidP="00441F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C47">
        <w:rPr>
          <w:rFonts w:ascii="Arial" w:hAnsi="Arial" w:cs="Arial"/>
          <w:sz w:val="24"/>
          <w:szCs w:val="24"/>
        </w:rPr>
        <w:t>4. dr Aneta Włodarczyk</w:t>
      </w:r>
      <w:r>
        <w:rPr>
          <w:rFonts w:ascii="Arial" w:hAnsi="Arial" w:cs="Arial"/>
          <w:sz w:val="24"/>
          <w:szCs w:val="24"/>
        </w:rPr>
        <w:t>,</w:t>
      </w:r>
      <w:r w:rsidRPr="00E50C47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E50C47">
          <w:rPr>
            <w:rFonts w:ascii="Arial" w:hAnsi="Arial" w:cs="Arial"/>
            <w:sz w:val="24"/>
            <w:szCs w:val="24"/>
          </w:rPr>
          <w:t>aneta.wlodarczyk@pcz.pl</w:t>
        </w:r>
      </w:hyperlink>
      <w:r w:rsidRPr="00E50C47">
        <w:rPr>
          <w:rFonts w:ascii="Arial" w:hAnsi="Arial" w:cs="Arial"/>
          <w:sz w:val="24"/>
          <w:szCs w:val="24"/>
        </w:rPr>
        <w:t xml:space="preserve"> </w:t>
      </w:r>
    </w:p>
    <w:p w:rsidR="00441F50" w:rsidRDefault="00441F50" w:rsidP="00441F50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41F50" w:rsidRDefault="00441F50" w:rsidP="00441F50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441F50" w:rsidTr="0048465F">
        <w:tc>
          <w:tcPr>
            <w:tcW w:w="589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41F50" w:rsidTr="0048465F">
        <w:tc>
          <w:tcPr>
            <w:tcW w:w="589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1</w:t>
            </w:r>
          </w:p>
        </w:tc>
        <w:tc>
          <w:tcPr>
            <w:tcW w:w="1290" w:type="pct"/>
            <w:shd w:val="clear" w:color="auto" w:fill="auto"/>
          </w:tcPr>
          <w:p w:rsidR="00441F50" w:rsidRPr="00A2529D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29D">
              <w:rPr>
                <w:rFonts w:ascii="Arial" w:hAnsi="Arial" w:cs="Arial"/>
                <w:color w:val="000000" w:themeColor="text1"/>
                <w:sz w:val="24"/>
                <w:szCs w:val="24"/>
              </w:rPr>
              <w:t>K_W07, K_U09, K_K05</w:t>
            </w:r>
          </w:p>
        </w:tc>
        <w:tc>
          <w:tcPr>
            <w:tcW w:w="796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 – W3, CW1 – CW4, CW9 – CW10</w:t>
            </w:r>
          </w:p>
        </w:tc>
        <w:tc>
          <w:tcPr>
            <w:tcW w:w="873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1-4</w:t>
            </w:r>
          </w:p>
        </w:tc>
        <w:tc>
          <w:tcPr>
            <w:tcW w:w="578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41F50" w:rsidTr="0048465F">
        <w:tc>
          <w:tcPr>
            <w:tcW w:w="589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441F50" w:rsidRPr="00A2529D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29D">
              <w:rPr>
                <w:rFonts w:ascii="Arial" w:hAnsi="Arial" w:cs="Arial"/>
                <w:color w:val="000000" w:themeColor="text1"/>
                <w:sz w:val="24"/>
                <w:szCs w:val="24"/>
              </w:rPr>
              <w:t>K_W07, K_U09, K_K05</w:t>
            </w:r>
          </w:p>
        </w:tc>
        <w:tc>
          <w:tcPr>
            <w:tcW w:w="796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 – W5, CW5 – CW8, CW9 - CW10</w:t>
            </w:r>
          </w:p>
        </w:tc>
        <w:tc>
          <w:tcPr>
            <w:tcW w:w="873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1-4</w:t>
            </w:r>
          </w:p>
        </w:tc>
        <w:tc>
          <w:tcPr>
            <w:tcW w:w="578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41F50" w:rsidTr="0048465F">
        <w:tc>
          <w:tcPr>
            <w:tcW w:w="589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441F50" w:rsidRPr="00A2529D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29D">
              <w:rPr>
                <w:rFonts w:ascii="Arial" w:hAnsi="Arial" w:cs="Arial"/>
                <w:color w:val="000000" w:themeColor="text1"/>
                <w:sz w:val="24"/>
                <w:szCs w:val="24"/>
              </w:rPr>
              <w:t>K_W07, K_U09, K_K05</w:t>
            </w:r>
          </w:p>
        </w:tc>
        <w:tc>
          <w:tcPr>
            <w:tcW w:w="796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W6 – W12, CW11 – CW24, CW29 – CW30</w:t>
            </w:r>
          </w:p>
        </w:tc>
        <w:tc>
          <w:tcPr>
            <w:tcW w:w="873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1-4</w:t>
            </w:r>
          </w:p>
        </w:tc>
        <w:tc>
          <w:tcPr>
            <w:tcW w:w="578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41F50" w:rsidTr="0048465F">
        <w:tc>
          <w:tcPr>
            <w:tcW w:w="589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441F50" w:rsidRPr="00A2529D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29D">
              <w:rPr>
                <w:rFonts w:ascii="Arial" w:hAnsi="Arial" w:cs="Arial"/>
                <w:color w:val="000000" w:themeColor="text1"/>
                <w:sz w:val="24"/>
                <w:szCs w:val="24"/>
              </w:rPr>
              <w:t>K_W07, K_U09, K_K05</w:t>
            </w:r>
          </w:p>
        </w:tc>
        <w:tc>
          <w:tcPr>
            <w:tcW w:w="796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W13 – W15, CW25 – CW30</w:t>
            </w:r>
          </w:p>
        </w:tc>
        <w:tc>
          <w:tcPr>
            <w:tcW w:w="873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1-4</w:t>
            </w:r>
          </w:p>
        </w:tc>
        <w:tc>
          <w:tcPr>
            <w:tcW w:w="578" w:type="pct"/>
            <w:shd w:val="clear" w:color="auto" w:fill="auto"/>
          </w:tcPr>
          <w:p w:rsidR="00441F50" w:rsidRDefault="00441F50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441F50" w:rsidRDefault="00441F50" w:rsidP="00441F50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441F50" w:rsidRPr="00765079" w:rsidRDefault="00441F50" w:rsidP="00441F5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441F50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441F50" w:rsidRDefault="00441F50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441F50" w:rsidRDefault="00441F50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41F50" w:rsidTr="0048465F">
        <w:trPr>
          <w:trHeight w:hRule="exact" w:val="3690"/>
        </w:trPr>
        <w:tc>
          <w:tcPr>
            <w:tcW w:w="521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nie odróżnia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pojęć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nie 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>wykonuje algorytm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ów 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>obliczeniow</w:t>
            </w:r>
            <w:r>
              <w:rPr>
                <w:rFonts w:ascii="Arial" w:hAnsi="Arial" w:cs="Arial"/>
                <w:bCs/>
                <w:sz w:val="24"/>
                <w:szCs w:val="24"/>
              </w:rPr>
              <w:t>ych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z zakresu rachunku macierzowego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046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odróżnia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pojęcia i wykonuje algorytmy obliczeniowe z zakresu rachunku macierzowego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49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stopniu </w:t>
            </w:r>
            <w:r w:rsidRPr="008B4915">
              <w:rPr>
                <w:rFonts w:ascii="Arial" w:hAnsi="Arial" w:cs="Arial"/>
                <w:bCs/>
                <w:sz w:val="24"/>
                <w:szCs w:val="24"/>
              </w:rPr>
              <w:t>51% – 70%.</w:t>
            </w:r>
          </w:p>
        </w:tc>
        <w:tc>
          <w:tcPr>
            <w:tcW w:w="1120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odróżnia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pojęcia i wykonuje algorytmy obliczeniowe z zakresu rachunku macierzowego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49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stopniu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Pr="008B4915">
              <w:rPr>
                <w:rFonts w:ascii="Arial" w:hAnsi="Arial" w:cs="Arial"/>
                <w:bCs/>
                <w:sz w:val="24"/>
                <w:szCs w:val="24"/>
              </w:rPr>
              <w:t xml:space="preserve">1% – </w:t>
            </w: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8B4915">
              <w:rPr>
                <w:rFonts w:ascii="Arial" w:hAnsi="Arial" w:cs="Arial"/>
                <w:bCs/>
                <w:sz w:val="24"/>
                <w:szCs w:val="24"/>
              </w:rPr>
              <w:t>0%.</w:t>
            </w:r>
          </w:p>
        </w:tc>
        <w:tc>
          <w:tcPr>
            <w:tcW w:w="1267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odróżnia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pojęcia i wykonuje algorytmy obliczeniowe z zakresu rachunku macierzowego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49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stopniu </w:t>
            </w: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8B4915">
              <w:rPr>
                <w:rFonts w:ascii="Arial" w:hAnsi="Arial" w:cs="Arial"/>
                <w:bCs/>
                <w:sz w:val="24"/>
                <w:szCs w:val="24"/>
              </w:rPr>
              <w:t xml:space="preserve">1% –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8B4915">
              <w:rPr>
                <w:rFonts w:ascii="Arial" w:hAnsi="Arial" w:cs="Arial"/>
                <w:bCs/>
                <w:sz w:val="24"/>
                <w:szCs w:val="24"/>
              </w:rPr>
              <w:t>0%.</w:t>
            </w:r>
          </w:p>
        </w:tc>
      </w:tr>
      <w:tr w:rsidR="00441F50" w:rsidTr="0048465F">
        <w:trPr>
          <w:trHeight w:hRule="exact" w:val="4526"/>
        </w:trPr>
        <w:tc>
          <w:tcPr>
            <w:tcW w:w="521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nie identyfikuje typu układu równań liniowych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nie rozwiązuje układów równań liniowych z wykorzystaniem rachunku macierzowego.</w:t>
            </w:r>
          </w:p>
        </w:tc>
        <w:tc>
          <w:tcPr>
            <w:tcW w:w="1046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 typ układu równań liniowych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rozwiązuje układy równań liniowych z wykorzystaniem rachunku macierzowego w stopniu 51%-70%.</w:t>
            </w:r>
          </w:p>
        </w:tc>
        <w:tc>
          <w:tcPr>
            <w:tcW w:w="1120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 typ układu równań liniowych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rozwiązuje układy równań liniowych z wykorzystaniem rachunku macierzowego w stopniu 71%-90%.</w:t>
            </w:r>
          </w:p>
        </w:tc>
        <w:tc>
          <w:tcPr>
            <w:tcW w:w="1267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 typ układu równań liniowych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rozwiązuje układy równań liniowych z wykorzystaniem rachunku macierzowego w stopniu 91%-100%.</w:t>
            </w:r>
          </w:p>
        </w:tc>
      </w:tr>
      <w:tr w:rsidR="00441F50" w:rsidTr="0048465F">
        <w:trPr>
          <w:trHeight w:hRule="exact" w:val="4126"/>
        </w:trPr>
        <w:tc>
          <w:tcPr>
            <w:tcW w:w="521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nie identyfikuje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46" w:type="pct"/>
            <w:shd w:val="clear" w:color="auto" w:fill="FFFFFF"/>
          </w:tcPr>
          <w:p w:rsidR="00441F50" w:rsidRPr="006503D1" w:rsidRDefault="00441F50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 stosując teorię granic funkcji oraz rachunek różniczkowy w stopniu 51%-70%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441F50" w:rsidRPr="006503D1" w:rsidRDefault="00441F50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 stosując teorię granic funkcji oraz rachunek różniczkowy w stopniu 71%-90%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441F50" w:rsidRPr="006503D1" w:rsidRDefault="00441F50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 stosując teorię granic funkcji oraz rachunek różniczkowy w stopniu 91%-100%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41F50" w:rsidTr="0048465F">
        <w:trPr>
          <w:trHeight w:hRule="exact" w:val="4257"/>
        </w:trPr>
        <w:tc>
          <w:tcPr>
            <w:tcW w:w="521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nie wykonuje podstawowych algorytmów obliczeniowych w zakresie rachunku całkowego funkcji jednej zmiennej.</w:t>
            </w:r>
          </w:p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wykonuje podstawowe algorytmy obliczeniowe w zakresie rachunku całkowego funkcji jednej zmiennej</w:t>
            </w:r>
          </w:p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w stopniu 51%-70%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0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wykonuje podstawowe algorytmy obliczeniowe w zakresie rachunku całkowego funkcji jednej zmiennej</w:t>
            </w:r>
          </w:p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w stopniu w stopniu 71%-90%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67" w:type="pct"/>
            <w:shd w:val="clear" w:color="auto" w:fill="FFFFFF"/>
          </w:tcPr>
          <w:p w:rsidR="00441F50" w:rsidRDefault="00441F50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wykonuje podstawowe algorytmy obliczeniowe w zakresie rachunku całkowego funkcji jednej zmiennej</w:t>
            </w:r>
          </w:p>
          <w:p w:rsidR="00441F50" w:rsidRDefault="00441F50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w stopniu 91%-100%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441F50" w:rsidRDefault="00441F50" w:rsidP="00441F5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50"/>
    <w:rsid w:val="00441F50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F3A09-8DA4-4698-A869-FDE7712F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1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ta.wlodarczyk@pcz.pl" TargetMode="External"/><Relationship Id="rId5" Type="http://schemas.openxmlformats.org/officeDocument/2006/relationships/hyperlink" Target="mailto:wioletta.skrodzka@pcz.pl" TargetMode="External"/><Relationship Id="rId4" Type="http://schemas.openxmlformats.org/officeDocument/2006/relationships/hyperlink" Target="mailto:agnieszka.nog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1456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2025-06-16T13:18:00Z</dcterms:created>
  <dcterms:modified xsi:type="dcterms:W3CDTF">2025-06-16T13:18:00Z</dcterms:modified>
</cp:coreProperties>
</file>