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55" w:rsidRDefault="000D3C55" w:rsidP="000D3C5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SYLABUS DO PRZEDMIOTU</w:t>
      </w:r>
    </w:p>
    <w:p w:rsidR="000D3C55" w:rsidRDefault="000D3C55" w:rsidP="000D3C5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0"/>
        <w:gridCol w:w="5298"/>
      </w:tblGrid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C55" w:rsidRDefault="000D3C55" w:rsidP="00A613B2">
            <w:pPr>
              <w:spacing w:after="0"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Analiza kosztów pracy</w:t>
            </w:r>
            <w:bookmarkEnd w:id="0"/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Katedra Finansów, Bankowości i Rachunkowości 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Jolanta Rubik</w:t>
            </w:r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D3C55" w:rsidTr="00A613B2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838"/>
        <w:gridCol w:w="1884"/>
        <w:gridCol w:w="1787"/>
        <w:gridCol w:w="1866"/>
      </w:tblGrid>
      <w:tr w:rsidR="000D3C55" w:rsidTr="00A613B2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Seminarium</w:t>
            </w:r>
          </w:p>
        </w:tc>
      </w:tr>
      <w:tr w:rsidR="000D3C55" w:rsidTr="00A613B2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 h 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5" w:rsidRDefault="000D3C55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 PRZEDMIOTU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C1. Przekazanie studentom wiedzy z zakresu istoty i podstaw prawnych wynagrodzeń. 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C2. Zapoznanie studentów z zasadami naliczania i ewidencji wynagrodzeń 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C3. Zapoznanie studentów z elementami składowymi kosztów pracy. 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0D3C55" w:rsidRDefault="000D3C55" w:rsidP="000D3C55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znajomość podstawowych kategorii ekonomicznych.</w:t>
      </w:r>
    </w:p>
    <w:p w:rsidR="000D3C55" w:rsidRDefault="000D3C55" w:rsidP="000D3C55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wiedzę na temat mechanizmu i zasad funkcjonowania jednostki gospodarczej.</w:t>
      </w:r>
    </w:p>
    <w:p w:rsidR="000D3C55" w:rsidRDefault="000D3C55" w:rsidP="000D3C55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wiedzę na temat metod zarządzania w przedsiębiorstwie.</w:t>
      </w:r>
    </w:p>
    <w:p w:rsidR="000D3C55" w:rsidRDefault="000D3C55" w:rsidP="000D3C55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ma podstawową wiedzę z zakresu rachunkowości przedsiębiorstwa.</w:t>
      </w:r>
    </w:p>
    <w:p w:rsidR="000D3C55" w:rsidRDefault="000D3C55" w:rsidP="000D3C55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Student wykazuje znajomość podstawowych zasad matematycznych, które pozwolą na dokonywanie kalkulacji ekonomicznych.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0D3C55" w:rsidRDefault="000D3C55" w:rsidP="000D3C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1</w:t>
      </w:r>
      <w:r>
        <w:rPr>
          <w:rFonts w:ascii="Arial" w:hAnsi="Arial" w:cs="Arial"/>
          <w:sz w:val="24"/>
          <w:szCs w:val="24"/>
        </w:rPr>
        <w:t xml:space="preserve"> - student posiada wiedzę teoretyczną dotyczącą istoty i podstaw prawnych systemu wynagrodzeń</w:t>
      </w:r>
    </w:p>
    <w:p w:rsidR="000D3C55" w:rsidRDefault="000D3C55" w:rsidP="000D3C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 2</w:t>
      </w:r>
      <w:r>
        <w:rPr>
          <w:rFonts w:ascii="Arial" w:hAnsi="Arial" w:cs="Arial"/>
          <w:sz w:val="24"/>
          <w:szCs w:val="24"/>
        </w:rPr>
        <w:t xml:space="preserve"> – student identyfikuje i charakteryzuje elementy kosztów pracy i wynagrodzeń </w:t>
      </w:r>
    </w:p>
    <w:p w:rsidR="000D3C55" w:rsidRDefault="000D3C55" w:rsidP="000D3C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3</w:t>
      </w:r>
      <w:r>
        <w:rPr>
          <w:rFonts w:ascii="Arial" w:hAnsi="Arial" w:cs="Arial"/>
          <w:sz w:val="24"/>
          <w:szCs w:val="24"/>
        </w:rPr>
        <w:t xml:space="preserve"> – student potrafi naliczyć wynagrodzenia wg obowiązujących podstaw prawnych </w:t>
      </w:r>
    </w:p>
    <w:p w:rsidR="000D3C55" w:rsidRDefault="000D3C55" w:rsidP="000D3C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4</w:t>
      </w:r>
      <w:r>
        <w:rPr>
          <w:rFonts w:ascii="Arial" w:hAnsi="Arial" w:cs="Arial"/>
          <w:sz w:val="24"/>
          <w:szCs w:val="24"/>
        </w:rPr>
        <w:t xml:space="preserve"> - student potrafi ująć koszty wynagrodzeń w ewidencji przedsiębiorstwa i zastosować mierniki efektywności tych kosztów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Style w:val="TableGrid"/>
        <w:tblW w:w="9486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05"/>
        <w:gridCol w:w="1281"/>
      </w:tblGrid>
      <w:tr w:rsidR="000D3C55" w:rsidTr="00A613B2">
        <w:trPr>
          <w:trHeight w:val="329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D3C55" w:rsidTr="00A613B2">
        <w:trPr>
          <w:trHeight w:val="847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</w:t>
            </w:r>
            <w:r>
              <w:rPr>
                <w:rFonts w:ascii="Arial" w:hAnsi="Arial" w:cs="Arial"/>
                <w:sz w:val="24"/>
                <w:szCs w:val="24"/>
              </w:rPr>
              <w:t xml:space="preserve"> - Wynagrodzenia i koszty pracy – definicja, podstawy prawne</w:t>
            </w:r>
          </w:p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2 – W 3</w:t>
            </w:r>
            <w:r>
              <w:rPr>
                <w:rFonts w:ascii="Arial" w:hAnsi="Arial" w:cs="Arial"/>
                <w:sz w:val="24"/>
                <w:szCs w:val="24"/>
              </w:rPr>
              <w:t xml:space="preserve"> - Podstawowe zasady naliczania wynagrodzeń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2070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4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ewidencji kosztów pracy </w:t>
            </w:r>
          </w:p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5</w:t>
            </w:r>
            <w:r>
              <w:rPr>
                <w:rFonts w:ascii="Arial" w:hAnsi="Arial" w:cs="Arial"/>
                <w:sz w:val="24"/>
                <w:szCs w:val="24"/>
              </w:rPr>
              <w:t xml:space="preserve"> - Koszty pracy w różnych formach zatrudnienia. Koszty pozyskania i doskonalenia personelu</w:t>
            </w:r>
          </w:p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6</w:t>
            </w:r>
            <w:r>
              <w:rPr>
                <w:rFonts w:ascii="Arial" w:hAnsi="Arial" w:cs="Arial"/>
                <w:sz w:val="24"/>
                <w:szCs w:val="24"/>
              </w:rPr>
              <w:t xml:space="preserve"> - Koszty zatrudnienia i utrzymania pracowników. Koszty zwolnień i fluktuacji personelu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1280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7</w:t>
            </w:r>
            <w:r>
              <w:rPr>
                <w:rFonts w:ascii="Arial" w:hAnsi="Arial" w:cs="Arial"/>
                <w:sz w:val="24"/>
                <w:szCs w:val="24"/>
              </w:rPr>
              <w:t xml:space="preserve"> - Systemy wynagrodzeń</w:t>
            </w:r>
          </w:p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8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bezpośrednie i pośrednie wynagrodzenia</w:t>
            </w:r>
          </w:p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9</w:t>
            </w:r>
            <w:r>
              <w:rPr>
                <w:rFonts w:ascii="Arial" w:hAnsi="Arial" w:cs="Arial"/>
                <w:sz w:val="24"/>
                <w:szCs w:val="24"/>
              </w:rPr>
              <w:t xml:space="preserve"> - Mierniki efektywności kosztów pracy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329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D3C55" w:rsidTr="00A613B2">
        <w:trPr>
          <w:trHeight w:val="329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 – CW 3</w:t>
            </w:r>
            <w:r>
              <w:rPr>
                <w:rFonts w:ascii="Arial" w:hAnsi="Arial" w:cs="Arial"/>
                <w:sz w:val="24"/>
                <w:szCs w:val="24"/>
              </w:rPr>
              <w:t xml:space="preserve"> - Zajęcia organizacyjne- podanie zasad zaliczenia przedmiotu. </w:t>
            </w:r>
            <w:r>
              <w:rPr>
                <w:rFonts w:ascii="Arial" w:hAnsi="Arial" w:cs="Arial"/>
                <w:sz w:val="24"/>
                <w:szCs w:val="24"/>
              </w:rPr>
              <w:br/>
              <w:t>Zapoznanie z podstawowymi aktami prawnymi. Identyfikacja kosztów pracy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564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4 – CW 6</w:t>
            </w:r>
            <w:r>
              <w:rPr>
                <w:rFonts w:ascii="Arial" w:hAnsi="Arial" w:cs="Arial"/>
                <w:sz w:val="24"/>
                <w:szCs w:val="24"/>
              </w:rPr>
              <w:t xml:space="preserve"> - Zasady naliczania wynagrodzeń przy umowie o pracę i przy umowach cywilno-prawnych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416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7 – CW 9</w:t>
            </w:r>
            <w:r>
              <w:rPr>
                <w:rFonts w:ascii="Arial" w:hAnsi="Arial" w:cs="Arial"/>
                <w:sz w:val="24"/>
                <w:szCs w:val="24"/>
              </w:rPr>
              <w:t xml:space="preserve"> - Ewidencja wynagrodzeń.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416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CW 10 – CW 12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kosztów rekrutacji, doskonalenia  i zwolnień personelu. Elementy kosztów zatrudnienia i utrzymania pracowników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D3C55" w:rsidTr="00A613B2">
        <w:trPr>
          <w:trHeight w:val="302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13 – CW 14</w:t>
            </w:r>
            <w:r>
              <w:rPr>
                <w:rFonts w:ascii="Arial" w:hAnsi="Arial" w:cs="Arial"/>
                <w:sz w:val="24"/>
                <w:szCs w:val="24"/>
              </w:rPr>
              <w:t xml:space="preserve"> - Mierniki efektywności kosztów pracy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D3C55" w:rsidTr="00A613B2">
        <w:trPr>
          <w:trHeight w:val="329"/>
        </w:trPr>
        <w:tc>
          <w:tcPr>
            <w:tcW w:w="8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  <w:highlight w:val="dark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15</w:t>
            </w:r>
            <w:r>
              <w:rPr>
                <w:rFonts w:ascii="Arial" w:hAnsi="Arial" w:cs="Arial"/>
                <w:sz w:val="24"/>
                <w:szCs w:val="24"/>
              </w:rPr>
              <w:t xml:space="preserve"> - Kolokwium zaliczeniowe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C55" w:rsidRDefault="000D3C55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0D3C55" w:rsidRDefault="000D3C55" w:rsidP="000D3C5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0D3C55" w:rsidRDefault="000D3C55" w:rsidP="000D3C5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Tablica, kreda, markery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3. Zestawy zadań przekazane studentom do rozwiązania</w:t>
      </w:r>
    </w:p>
    <w:p w:rsidR="000D3C55" w:rsidRDefault="000D3C55" w:rsidP="000D3C5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Case </w:t>
      </w:r>
      <w:proofErr w:type="spellStart"/>
      <w:r>
        <w:rPr>
          <w:rFonts w:ascii="Arial" w:hAnsi="Arial" w:cs="Arial"/>
          <w:sz w:val="24"/>
          <w:szCs w:val="24"/>
        </w:rPr>
        <w:t>study</w:t>
      </w:r>
      <w:proofErr w:type="spellEnd"/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F1. Praca w grupach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F2. Aktywność na zajęciach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P1. Kolokwium 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P2. Egzamin</w:t>
      </w:r>
      <w:r>
        <w:rPr>
          <w:rFonts w:ascii="Arial" w:hAnsi="Arial" w:cs="Arial"/>
          <w:sz w:val="24"/>
          <w:szCs w:val="24"/>
        </w:rPr>
        <w:tab/>
        <w:t>pisemny</w:t>
      </w: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1608"/>
        <w:gridCol w:w="1869"/>
      </w:tblGrid>
      <w:tr w:rsidR="000D3C55" w:rsidTr="00A613B2">
        <w:tc>
          <w:tcPr>
            <w:tcW w:w="3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D3C55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55" w:rsidRDefault="000D3C55" w:rsidP="00A613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egzaminu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0,76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D3C55" w:rsidTr="00A613B2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100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Młynarska- </w:t>
      </w:r>
      <w:proofErr w:type="spellStart"/>
      <w:r>
        <w:rPr>
          <w:rFonts w:ascii="Arial" w:hAnsi="Arial" w:cs="Arial"/>
          <w:sz w:val="24"/>
          <w:szCs w:val="24"/>
        </w:rPr>
        <w:t>Wełpa</w:t>
      </w:r>
      <w:proofErr w:type="spellEnd"/>
      <w:r>
        <w:rPr>
          <w:rFonts w:ascii="Arial" w:hAnsi="Arial" w:cs="Arial"/>
          <w:sz w:val="24"/>
          <w:szCs w:val="24"/>
        </w:rPr>
        <w:t xml:space="preserve"> E., </w:t>
      </w:r>
      <w:r>
        <w:rPr>
          <w:rFonts w:ascii="Arial" w:hAnsi="Arial" w:cs="Arial"/>
          <w:i/>
          <w:sz w:val="24"/>
          <w:szCs w:val="24"/>
        </w:rPr>
        <w:t>Płace w praktyce</w:t>
      </w:r>
      <w:r>
        <w:rPr>
          <w:rFonts w:ascii="Arial" w:hAnsi="Arial" w:cs="Arial"/>
          <w:sz w:val="24"/>
          <w:szCs w:val="24"/>
        </w:rPr>
        <w:t xml:space="preserve">, wyd. </w:t>
      </w:r>
      <w:proofErr w:type="spellStart"/>
      <w:r>
        <w:rPr>
          <w:rFonts w:ascii="Arial" w:hAnsi="Arial" w:cs="Arial"/>
          <w:sz w:val="24"/>
          <w:szCs w:val="24"/>
        </w:rPr>
        <w:t>SKwP</w:t>
      </w:r>
      <w:proofErr w:type="spellEnd"/>
      <w:r>
        <w:rPr>
          <w:rFonts w:ascii="Arial" w:hAnsi="Arial" w:cs="Arial"/>
          <w:sz w:val="24"/>
          <w:szCs w:val="24"/>
        </w:rPr>
        <w:t>, Warszawa, 2021.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Jacewicz A., Małkowska D.,</w:t>
      </w:r>
      <w:r>
        <w:rPr>
          <w:rFonts w:ascii="Arial" w:hAnsi="Arial" w:cs="Arial"/>
          <w:i/>
          <w:sz w:val="24"/>
          <w:szCs w:val="24"/>
        </w:rPr>
        <w:t xml:space="preserve"> Kadry i płace 2023 : obowiązki pracodawców, rozliczanie świadczeń pracowniczych, dokumentacja kadrowa, podatkowa i ZUS</w:t>
      </w:r>
      <w:r>
        <w:rPr>
          <w:rFonts w:ascii="Arial" w:hAnsi="Arial" w:cs="Arial"/>
          <w:sz w:val="24"/>
          <w:szCs w:val="24"/>
        </w:rPr>
        <w:t>, Gdańsk, ODDK, 2023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Cieślak M., </w:t>
      </w:r>
      <w:r>
        <w:rPr>
          <w:rFonts w:ascii="Arial" w:hAnsi="Arial" w:cs="Arial"/>
          <w:i/>
          <w:sz w:val="24"/>
          <w:szCs w:val="24"/>
        </w:rPr>
        <w:t xml:space="preserve"> Płace od A do Z w 2020 : stan prawny 1 marca 2020 r</w:t>
      </w:r>
      <w:r>
        <w:rPr>
          <w:rFonts w:ascii="Arial" w:hAnsi="Arial" w:cs="Arial"/>
          <w:sz w:val="24"/>
          <w:szCs w:val="24"/>
        </w:rPr>
        <w:t>. Wydawnictwo HR Services, Warszawa, 2020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Świadczenia pozapłacowe 2018</w:t>
      </w:r>
      <w:r>
        <w:rPr>
          <w:rFonts w:ascii="Arial" w:hAnsi="Arial" w:cs="Arial"/>
          <w:sz w:val="24"/>
          <w:szCs w:val="24"/>
        </w:rPr>
        <w:t xml:space="preserve"> (red.) Trojanowska K., Wiedza i Praktyka, Warszawa 2017.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Rubik J. : </w:t>
      </w:r>
      <w:r>
        <w:rPr>
          <w:rFonts w:ascii="Arial" w:hAnsi="Arial" w:cs="Arial"/>
          <w:i/>
          <w:sz w:val="24"/>
          <w:szCs w:val="24"/>
        </w:rPr>
        <w:t>Ewidencja i rozliczanie kosztów [w:] Rachunkowość finansowa</w:t>
      </w:r>
      <w:r>
        <w:rPr>
          <w:rFonts w:ascii="Arial" w:hAnsi="Arial" w:cs="Arial"/>
          <w:sz w:val="24"/>
          <w:szCs w:val="24"/>
        </w:rPr>
        <w:t xml:space="preserve">, red. </w:t>
      </w:r>
      <w:proofErr w:type="spellStart"/>
      <w:r>
        <w:rPr>
          <w:rFonts w:ascii="Arial" w:hAnsi="Arial" w:cs="Arial"/>
          <w:sz w:val="24"/>
          <w:szCs w:val="24"/>
        </w:rPr>
        <w:t>J.Chluska</w:t>
      </w:r>
      <w:proofErr w:type="spellEnd"/>
      <w:r>
        <w:rPr>
          <w:rFonts w:ascii="Arial" w:hAnsi="Arial" w:cs="Arial"/>
          <w:sz w:val="24"/>
          <w:szCs w:val="24"/>
        </w:rPr>
        <w:t>, WWZ PCz, Częstochowa, 2016.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Ustawa z dnia 26.06.1974 Kodeks pracy (aktualny tekst jednolity) i odpowiednie Rozporządzenia Ministra Pracy i Polityki Socjalnej.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Ustawa z dnia 26.07.1991 o podatku dochodowym od osób fizycznych </w:t>
      </w:r>
      <w:r>
        <w:rPr>
          <w:rFonts w:ascii="Arial" w:hAnsi="Arial" w:cs="Arial"/>
          <w:sz w:val="24"/>
          <w:szCs w:val="24"/>
          <w:shd w:val="clear" w:color="auto" w:fill="FFFFFF"/>
        </w:rPr>
        <w:t>(aktualny tekst jednolity)</w:t>
      </w:r>
    </w:p>
    <w:p w:rsidR="000D3C55" w:rsidRDefault="000D3C55" w:rsidP="000D3C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Ustawa z dnia 13.10.1998 o systemie ubezpieczeń społecznych (aktualny tekst jednolity)</w:t>
      </w:r>
    </w:p>
    <w:p w:rsidR="000D3C55" w:rsidRDefault="000D3C55" w:rsidP="000D3C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0D3C55" w:rsidRDefault="000D3C55" w:rsidP="000D3C5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bCs/>
          <w:i/>
          <w:sz w:val="24"/>
          <w:szCs w:val="24"/>
        </w:rPr>
        <w:t>Rachunkowość mikro i małych przedsiębiorstw: ewidencja podatkowa i bilansowa</w:t>
      </w:r>
      <w:r>
        <w:rPr>
          <w:rFonts w:ascii="Arial" w:hAnsi="Arial" w:cs="Arial"/>
          <w:bCs/>
          <w:sz w:val="24"/>
          <w:szCs w:val="24"/>
        </w:rPr>
        <w:t xml:space="preserve"> / T. </w:t>
      </w:r>
      <w:proofErr w:type="spellStart"/>
      <w:r>
        <w:rPr>
          <w:rFonts w:ascii="Arial" w:hAnsi="Arial" w:cs="Arial"/>
          <w:bCs/>
          <w:sz w:val="24"/>
          <w:szCs w:val="24"/>
        </w:rPr>
        <w:t>Kiziukiewicz</w:t>
      </w:r>
      <w:proofErr w:type="spellEnd"/>
      <w:r>
        <w:rPr>
          <w:rFonts w:ascii="Arial" w:hAnsi="Arial" w:cs="Arial"/>
          <w:bCs/>
          <w:sz w:val="24"/>
          <w:szCs w:val="24"/>
        </w:rPr>
        <w:t>, K. Sawicki., PWE, Warszawa, 2016.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0D3C55" w:rsidRDefault="000D3C55" w:rsidP="000D3C5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Rubik J.: </w:t>
      </w:r>
      <w:r>
        <w:rPr>
          <w:rFonts w:ascii="Arial" w:hAnsi="Arial" w:cs="Arial"/>
          <w:i/>
          <w:sz w:val="24"/>
          <w:szCs w:val="24"/>
        </w:rPr>
        <w:t>Wpływ tradycyjnych i alternatywnych form zatrudnienia na koszty pracy [w:]Zarządzanie kosztami przedsiębiorstwa w warunkach ryzyka. Aspekty teoretyczne</w:t>
      </w:r>
      <w:r>
        <w:rPr>
          <w:rFonts w:ascii="Arial" w:hAnsi="Arial" w:cs="Arial"/>
          <w:sz w:val="24"/>
          <w:szCs w:val="24"/>
        </w:rPr>
        <w:t xml:space="preserve">, (red.) J. </w:t>
      </w:r>
      <w:proofErr w:type="spellStart"/>
      <w:r>
        <w:rPr>
          <w:rFonts w:ascii="Arial" w:hAnsi="Arial" w:cs="Arial"/>
          <w:sz w:val="24"/>
          <w:szCs w:val="24"/>
        </w:rPr>
        <w:t>Chluska</w:t>
      </w:r>
      <w:proofErr w:type="spellEnd"/>
      <w:r>
        <w:rPr>
          <w:rFonts w:ascii="Arial" w:hAnsi="Arial" w:cs="Arial"/>
          <w:sz w:val="24"/>
          <w:szCs w:val="24"/>
        </w:rPr>
        <w:t>, J. Rubik, wyd. WZ PCz, Częstochowa, 2014.</w:t>
      </w:r>
    </w:p>
    <w:p w:rsidR="000D3C55" w:rsidRDefault="000D3C55" w:rsidP="000D3C55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Rubik J.: </w:t>
      </w:r>
      <w:r>
        <w:rPr>
          <w:rFonts w:ascii="Arial" w:hAnsi="Arial" w:cs="Arial"/>
          <w:i/>
          <w:sz w:val="24"/>
          <w:szCs w:val="24"/>
        </w:rPr>
        <w:t>Nowe kierunki zarządzania kapitałem ludzkim</w:t>
      </w:r>
      <w:r>
        <w:rPr>
          <w:rFonts w:ascii="Arial" w:hAnsi="Arial" w:cs="Arial"/>
          <w:sz w:val="24"/>
          <w:szCs w:val="24"/>
        </w:rPr>
        <w:t xml:space="preserve">, Studia Ekonomiczne Zeszyty Naukowe UE w Katowicach nr 300, Katowice, 2016.                                    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78"/>
      </w:tblGrid>
      <w:tr w:rsidR="000D3C55" w:rsidTr="00A613B2">
        <w:tc>
          <w:tcPr>
            <w:tcW w:w="9210" w:type="dxa"/>
          </w:tcPr>
          <w:p w:rsidR="000D3C55" w:rsidRDefault="000D3C5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0D3C55" w:rsidRDefault="000D3C55" w:rsidP="000D3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Jolanta Rubik, jolanta.rubik@pcz.pl</w:t>
      </w:r>
    </w:p>
    <w:p w:rsidR="000D3C55" w:rsidRDefault="000D3C55" w:rsidP="000D3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D3C55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danego efektu do efektów zdefiniowanych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dla całego programu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Cele przedmiotu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0D3C55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K_W02, K_W05, K_U01, K_U03, K_K01,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W1-W3; W7, C1-C3; C4-C6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P2</w:t>
            </w:r>
          </w:p>
        </w:tc>
      </w:tr>
      <w:tr w:rsidR="000D3C55" w:rsidTr="00A613B2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K_W02, K_W05, K_W06, K_W07, , K_U01, K_U03, K_U09, K_K01,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W5-W6; W8; C1-C3; C10-C12, 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P1,P2</w:t>
            </w:r>
          </w:p>
        </w:tc>
      </w:tr>
      <w:tr w:rsidR="000D3C55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K_W07, K_W11, K_U03, K_U04, K_U09,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W2-W3; C4-C6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  <w:tr w:rsidR="000D3C55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K_W07, K_W11, K_U03, K_U04, K_U09,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W4; W9; C7-C9;  C13-C15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55" w:rsidRDefault="000D3C55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P1,P2</w:t>
            </w:r>
          </w:p>
        </w:tc>
      </w:tr>
    </w:tbl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D3C55" w:rsidRDefault="000D3C55" w:rsidP="000D3C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0D3C55" w:rsidTr="00A613B2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55" w:rsidRDefault="000D3C55" w:rsidP="00A613B2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D3C55" w:rsidTr="00A613B2">
        <w:trPr>
          <w:trHeight w:val="210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D3C55" w:rsidRDefault="000D3C55" w:rsidP="00A613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D3C55" w:rsidRDefault="000D3C55" w:rsidP="00A613B2">
            <w:pPr>
              <w:tabs>
                <w:tab w:val="left" w:pos="284"/>
              </w:tabs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posiada żadnej wiedzy teoretycznej dotyczącej istoty i podstaw prawnych systemu wynagrodzeń.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wybiórczą wiedzę teoretyczną dotyczącą istoty i podstaw prawnych systemu wynagrodzeń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teoretyczną dotyczącą istoty i większości podstaw prawnych systemu wynagrodzeń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pełną wiedzę teoretyczną dotyczącą istoty i wszystkich podstaw prawnych systemu wynagrodzeń</w:t>
            </w:r>
          </w:p>
        </w:tc>
      </w:tr>
      <w:tr w:rsidR="000D3C55" w:rsidTr="00A613B2">
        <w:trPr>
          <w:trHeight w:val="197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  <w:p w:rsidR="000D3C55" w:rsidRDefault="000D3C55" w:rsidP="00A613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C55" w:rsidRDefault="000D3C55" w:rsidP="00A613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 identyfikuje i nie charakteryzuje żadnych elementów kosztów pracy i wynagrodzeń  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 identyfikuje i charakteryzuje najbardziej podstawowe  elementy kosztów pracy i wynagrodzeń  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 identyfikuje i charakteryzuje poprawnie większość elementów kosztów pracy i wynagrodzeń 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 identyfikuje i charakteryzuje wszystkie elementy kosztów pracy i wynagrodzeń  </w:t>
            </w:r>
          </w:p>
        </w:tc>
      </w:tr>
      <w:tr w:rsidR="000D3C55" w:rsidTr="00A613B2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0D3C55" w:rsidRDefault="000D3C55" w:rsidP="00A613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potrafi naliczyć wynagrodzenia wg obowiązujących podstaw prawnych  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naliczyć niektóre elementy wynagrodzenia wg obowiązujących podstaw prawnych  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naliczyć większość elementów wynagrodzenia wg obowiązujących podstaw prawnych 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potrafi naliczyć wszystkie elementy  wynagrodzenia wg obowiązujących podstaw prawnych</w:t>
            </w:r>
          </w:p>
        </w:tc>
      </w:tr>
      <w:tr w:rsidR="000D3C55" w:rsidTr="00A613B2">
        <w:trPr>
          <w:trHeight w:val="1476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  <w:p w:rsidR="000D3C55" w:rsidRDefault="000D3C55" w:rsidP="00A613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potrafi ująć kosztów wynagrodzeń w ewidencji przedsiębiorstwa ani zastosować żadnych  mierników efektywności tych kosztów  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w stopniu poprawnym  ująć koszty wynagrodzeń w ewidencji przedsiębiorstwa i  zastosować wybiórczo  mierniki efektywności tych kosztów  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prawidłowo ująć wszystkie koszty wynagrodzeń w ewidencji przedsiębiorstwa i  zastosować oraz zinterpretować większość  mierników efektywności tych kosztów 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55" w:rsidRDefault="000D3C55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prawidłowo ująć wszystkie koszty wynagrodzeń w ewidencji przedsiębiorstwa i  zastosować oraz zinterpretować wszystkie mierniki efektywności tych kosztów  </w:t>
            </w:r>
          </w:p>
        </w:tc>
      </w:tr>
    </w:tbl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INNE PRZYDATNE INFORMACJE O PRZEDMIOCIE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Informacja gdzie można zapoznać się z prezentacjami do zajęć itp. Informacje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przekazywane są na pierwszych zajęciach oraz przesyłane drogą elektroniczną na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adresy poszczególnych grup dziekańskich.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Informacje na temat miejsca odbywania się zajęć. Informacje znajdują się na stronie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internetowej Wydziału Zarządzania oraz w systemie USOS.</w:t>
      </w:r>
    </w:p>
    <w:p w:rsidR="000D3C55" w:rsidRDefault="000D3C55" w:rsidP="000D3C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Informacje na temat terminu zajęć (dzień tygodnia/ godzina). Informacje znajdują się na stronie internetowej Wydziału Zarządzania oraz w systemie USOS.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EBA"/>
    <w:multiLevelType w:val="hybridMultilevel"/>
    <w:tmpl w:val="67441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245F9"/>
    <w:multiLevelType w:val="hybridMultilevel"/>
    <w:tmpl w:val="E192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55"/>
    <w:rsid w:val="000D3C55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4E37-736C-4DE5-A02A-B9E20CA1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3C55"/>
    <w:pPr>
      <w:spacing w:line="256" w:lineRule="auto"/>
      <w:ind w:left="720"/>
      <w:contextualSpacing/>
    </w:pPr>
  </w:style>
  <w:style w:type="table" w:customStyle="1" w:styleId="TableGrid">
    <w:name w:val="TableGrid"/>
    <w:rsid w:val="000D3C5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0D3C55"/>
  </w:style>
  <w:style w:type="paragraph" w:customStyle="1" w:styleId="Akapitzlist1">
    <w:name w:val="Akapit z listą1"/>
    <w:basedOn w:val="Normalny"/>
    <w:uiPriority w:val="99"/>
    <w:qFormat/>
    <w:rsid w:val="000D3C5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2025-08-22T11:20:00Z</dcterms:created>
  <dcterms:modified xsi:type="dcterms:W3CDTF">2025-08-22T11:21:00Z</dcterms:modified>
</cp:coreProperties>
</file>