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F6" w:rsidRDefault="00F07FF6" w:rsidP="00F07F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F07FF6" w:rsidRDefault="00F07FF6" w:rsidP="00F07FF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055">
              <w:rPr>
                <w:rFonts w:ascii="Arial" w:eastAsia="Times New Roman" w:hAnsi="Arial" w:cs="Arial"/>
                <w:b/>
                <w:sz w:val="24"/>
                <w:szCs w:val="24"/>
              </w:rPr>
              <w:t>Podstawy inwestycji</w:t>
            </w:r>
          </w:p>
        </w:tc>
      </w:tr>
      <w:bookmarkEnd w:id="0"/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0055">
              <w:rPr>
                <w:rFonts w:ascii="Arial" w:eastAsia="Times New Roman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Marta Szczepańczyk</w:t>
            </w:r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07FF6" w:rsidTr="00A613B2">
        <w:trPr>
          <w:trHeight w:val="567"/>
        </w:trPr>
        <w:tc>
          <w:tcPr>
            <w:tcW w:w="3984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F07FF6" w:rsidTr="00A613B2">
        <w:trPr>
          <w:trHeight w:val="567"/>
        </w:trPr>
        <w:tc>
          <w:tcPr>
            <w:tcW w:w="842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07FF6" w:rsidTr="00A613B2">
        <w:trPr>
          <w:trHeight w:val="567"/>
        </w:trPr>
        <w:tc>
          <w:tcPr>
            <w:tcW w:w="842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69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267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F07FF6" w:rsidRDefault="00F07FF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F07FF6" w:rsidRPr="007C0055" w:rsidRDefault="00F07FF6" w:rsidP="00F07F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C1. </w:t>
      </w:r>
      <w:r w:rsidRPr="00706998">
        <w:rPr>
          <w:rFonts w:ascii="Arial" w:eastAsia="Calibri" w:hAnsi="Arial" w:cs="Arial"/>
          <w:sz w:val="24"/>
          <w:szCs w:val="24"/>
        </w:rPr>
        <w:t>Przedstawienie i omówienie podstawowych pojęć z zakresu inwestycji.</w:t>
      </w:r>
    </w:p>
    <w:p w:rsidR="00F07FF6" w:rsidRPr="007C0055" w:rsidRDefault="00F07FF6" w:rsidP="00F07F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C2. </w:t>
      </w:r>
      <w:r w:rsidRPr="00706998">
        <w:rPr>
          <w:rFonts w:ascii="Arial" w:eastAsia="Calibri" w:hAnsi="Arial" w:cs="Arial"/>
          <w:sz w:val="24"/>
          <w:szCs w:val="24"/>
        </w:rPr>
        <w:t>Zapoznanie studentów z założeniami teorii zmienności wartości pieniądza w czasie, w tym kapitalizacji i dyskontowania strumieni pieniężnych.</w:t>
      </w:r>
    </w:p>
    <w:p w:rsidR="00F07FF6" w:rsidRPr="007C0055" w:rsidRDefault="00F07FF6" w:rsidP="00F07F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>C3.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06998">
        <w:rPr>
          <w:rFonts w:ascii="Arial" w:eastAsia="Calibri" w:hAnsi="Arial" w:cs="Arial"/>
          <w:sz w:val="24"/>
          <w:szCs w:val="24"/>
        </w:rPr>
        <w:t>Zapoznanie studentów z założeniami metod oceny przedsięwzięć inwestycyjnych w aktywa finansowe i rzeczowe.</w:t>
      </w: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1.</w:t>
      </w:r>
      <w:r w:rsidRPr="007C0055">
        <w:t xml:space="preserve"> </w:t>
      </w:r>
      <w:r w:rsidRPr="00706998">
        <w:rPr>
          <w:rFonts w:ascii="Arial" w:eastAsia="Calibri" w:hAnsi="Arial" w:cs="Arial"/>
          <w:sz w:val="24"/>
          <w:szCs w:val="24"/>
        </w:rPr>
        <w:t>Student zna i  potrafi stosować zasady matematyki w zakresie szkoły średniej (poziom podstawowy).</w:t>
      </w: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F07FF6" w:rsidRPr="00706998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EU 1 – </w:t>
      </w:r>
      <w:r w:rsidRPr="00706998">
        <w:rPr>
          <w:rFonts w:ascii="Arial" w:eastAsia="Calibri" w:hAnsi="Arial" w:cs="Arial"/>
          <w:sz w:val="24"/>
          <w:szCs w:val="24"/>
        </w:rPr>
        <w:t>Student potrafi poprawnie posługiwać się terminologią przedstawioną mu na wykładach.</w:t>
      </w:r>
    </w:p>
    <w:p w:rsidR="00F07FF6" w:rsidRPr="00706998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C0055">
        <w:rPr>
          <w:rFonts w:ascii="Arial" w:eastAsia="Calibri" w:hAnsi="Arial" w:cs="Arial"/>
          <w:b/>
          <w:sz w:val="24"/>
          <w:szCs w:val="24"/>
        </w:rPr>
        <w:t xml:space="preserve">EU 2 – </w:t>
      </w:r>
      <w:r w:rsidRPr="00706998">
        <w:rPr>
          <w:rFonts w:ascii="Arial" w:eastAsia="Calibri" w:hAnsi="Arial" w:cs="Arial"/>
          <w:sz w:val="24"/>
          <w:szCs w:val="24"/>
        </w:rPr>
        <w:t>Student zna założenia teorii zmienności wartości pieniądza w czasie oraz potrafi rozwiązywać związane z tym zadania.</w:t>
      </w:r>
    </w:p>
    <w:p w:rsidR="00F07FF6" w:rsidRPr="00706998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706998">
        <w:rPr>
          <w:rFonts w:ascii="Arial" w:eastAsia="Calibri" w:hAnsi="Arial" w:cs="Arial"/>
          <w:sz w:val="24"/>
          <w:szCs w:val="24"/>
        </w:rPr>
        <w:t>Student wyjaśnia pojęcia i rodzaje inwestycji finansowych oraz potrafi rozwiązywać zadania związane z oceną tych inwestycji.</w:t>
      </w:r>
    </w:p>
    <w:p w:rsidR="00F07FF6" w:rsidRPr="00706998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706998">
        <w:rPr>
          <w:rFonts w:ascii="Arial" w:eastAsia="Calibri" w:hAnsi="Arial" w:cs="Arial"/>
          <w:sz w:val="24"/>
          <w:szCs w:val="24"/>
        </w:rPr>
        <w:t>Student wyjaśnia pojęcia i rodzaje inwestycji rzeczowych oraz potrafi rozwiązywać zadania związane z oceną tych inwestycji.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F07FF6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07FF6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17592C" w:rsidRDefault="00F07FF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W1-W3.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t>Wprowadzenie do przedmiotu. Podstawowe pojęcia związane z inwestowaniem. Rodzaje inwestycji. Wartość obecna i przyszła inwestycji. Zmienność wartości pieniądza w czasie (kapitalizacja, dyskontowanie). Inwestycje finansowe. Instrumenty finansowe jako przedmiot inwestowania.</w:t>
            </w:r>
          </w:p>
        </w:tc>
        <w:tc>
          <w:tcPr>
            <w:tcW w:w="522" w:type="pct"/>
            <w:vAlign w:val="center"/>
          </w:tcPr>
          <w:p w:rsidR="00F07FF6" w:rsidRPr="00706998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6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07FF6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17592C" w:rsidRDefault="00F07FF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W4-W6.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t>Fundusze inwestycyjne. Inwestycje rzeczowe i źródła ich finansowania. Fazy i etapy projektu inwestycyjnego.</w:t>
            </w:r>
          </w:p>
        </w:tc>
        <w:tc>
          <w:tcPr>
            <w:tcW w:w="522" w:type="pct"/>
            <w:vAlign w:val="center"/>
          </w:tcPr>
          <w:p w:rsidR="00F07FF6" w:rsidRPr="00706998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6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07FF6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17592C" w:rsidRDefault="00F07FF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W7-W9.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t>Podstawy oceny efektywności inwestowania w aktywa rzeczowe. Ryzyko w decyzjach inwestycyjnych. Zaliczenie wykładu na ocenę w formie testu.</w:t>
            </w:r>
          </w:p>
        </w:tc>
        <w:tc>
          <w:tcPr>
            <w:tcW w:w="522" w:type="pct"/>
            <w:vAlign w:val="center"/>
          </w:tcPr>
          <w:p w:rsidR="00F07FF6" w:rsidRPr="00706998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6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07FF6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07FF6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17592C" w:rsidRDefault="00F07FF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1-C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t>Zajęcia wprowadzające. Omówienie zakresu tematycznego ćwiczeń. Wyznaczanie wartości obecnej i przyszłej inwestycji przy wykorzystaniu teorii kapitalizacji i dyskontowania.</w:t>
            </w:r>
          </w:p>
        </w:tc>
        <w:tc>
          <w:tcPr>
            <w:tcW w:w="522" w:type="pct"/>
            <w:vAlign w:val="center"/>
          </w:tcPr>
          <w:p w:rsidR="00F07FF6" w:rsidRPr="00706998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6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07FF6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17592C" w:rsidRDefault="00F07FF6" w:rsidP="00A613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4-C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t xml:space="preserve">Wyznaczanie wartości obecnej i przyszłej inwestycji przy wykorzystaniu teorii kapitalizacji i dyskontowania. Płatności okresowe –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przepływy pieniężne. Ocena opłacalności inwestowania w wybrane instrumenty finansowe.</w:t>
            </w:r>
          </w:p>
        </w:tc>
        <w:tc>
          <w:tcPr>
            <w:tcW w:w="522" w:type="pct"/>
            <w:vAlign w:val="center"/>
          </w:tcPr>
          <w:p w:rsidR="00F07FF6" w:rsidRPr="00706998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6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</w:p>
        </w:tc>
      </w:tr>
      <w:tr w:rsidR="00F07FF6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17592C" w:rsidRDefault="00F07FF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7-C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t>Ocena opłacalności inwestowania w wybrane instrumenty finansowe. Podstawy oceny opłacalności inwestowania w aktywa rzeczowe.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F07FF6" w:rsidRPr="00706998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6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F07FF6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17592C" w:rsidRDefault="00F07FF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>10-C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Pr="001759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12. </w:t>
            </w:r>
            <w:r w:rsidRPr="00706998">
              <w:rPr>
                <w:rFonts w:ascii="Arial" w:hAnsi="Arial" w:cs="Arial"/>
                <w:bCs/>
                <w:sz w:val="24"/>
                <w:szCs w:val="24"/>
              </w:rPr>
              <w:t>Podstawy oceny opłacalności inwestowania w aktywa rzeczowe. Kolokwium zaliczeniowe w formie zadań do indywidualnego rozwiązania.</w:t>
            </w:r>
          </w:p>
        </w:tc>
        <w:tc>
          <w:tcPr>
            <w:tcW w:w="522" w:type="pct"/>
            <w:vAlign w:val="center"/>
          </w:tcPr>
          <w:p w:rsidR="00F07FF6" w:rsidRPr="00706998" w:rsidRDefault="00F07FF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069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</w:tbl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F07FF6" w:rsidRPr="00067B27" w:rsidRDefault="00F07FF6" w:rsidP="00F07FF6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F07FF6" w:rsidRPr="00067B27" w:rsidRDefault="00F07FF6" w:rsidP="00F07FF6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F07FF6" w:rsidRPr="00067B27" w:rsidRDefault="00F07FF6" w:rsidP="00F07FF6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F07FF6" w:rsidRPr="00067B27" w:rsidRDefault="00F07FF6" w:rsidP="00F07FF6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7B27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F07FF6" w:rsidRPr="001B37F5" w:rsidRDefault="00F07FF6" w:rsidP="00F07F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1B37F5">
        <w:rPr>
          <w:rFonts w:ascii="Arial" w:eastAsia="Times New Roman" w:hAnsi="Arial" w:cs="Arial"/>
          <w:sz w:val="24"/>
          <w:szCs w:val="24"/>
          <w:lang w:eastAsia="pl-PL"/>
        </w:rPr>
        <w:t>Aktywność na zajęciach</w:t>
      </w:r>
    </w:p>
    <w:p w:rsidR="00F07FF6" w:rsidRDefault="00F07FF6" w:rsidP="00F07F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37F5">
        <w:rPr>
          <w:rFonts w:ascii="Arial" w:eastAsia="Times New Roman" w:hAnsi="Arial" w:cs="Arial"/>
          <w:sz w:val="24"/>
          <w:szCs w:val="24"/>
          <w:lang w:eastAsia="pl-PL"/>
        </w:rPr>
        <w:t xml:space="preserve">P1. Kolokwium </w:t>
      </w:r>
    </w:p>
    <w:p w:rsidR="00F07FF6" w:rsidRDefault="00F07FF6" w:rsidP="00F07FF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37F5">
        <w:rPr>
          <w:rFonts w:ascii="Arial" w:eastAsia="Times New Roman" w:hAnsi="Arial" w:cs="Arial"/>
          <w:sz w:val="24"/>
          <w:szCs w:val="24"/>
          <w:lang w:eastAsia="pl-PL"/>
        </w:rPr>
        <w:t xml:space="preserve">P2. Test </w:t>
      </w:r>
    </w:p>
    <w:p w:rsidR="00F07FF6" w:rsidRDefault="00F07FF6" w:rsidP="00F07FF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F07FF6" w:rsidTr="00A613B2">
        <w:tc>
          <w:tcPr>
            <w:tcW w:w="3285" w:type="pct"/>
            <w:vMerge w:val="restart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07FF6" w:rsidTr="00A613B2">
        <w:trPr>
          <w:trHeight w:val="108"/>
        </w:trPr>
        <w:tc>
          <w:tcPr>
            <w:tcW w:w="3285" w:type="pct"/>
            <w:vMerge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07FF6" w:rsidTr="00A613B2">
        <w:tc>
          <w:tcPr>
            <w:tcW w:w="3285" w:type="pct"/>
          </w:tcPr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8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F07FF6" w:rsidTr="00A613B2">
        <w:tc>
          <w:tcPr>
            <w:tcW w:w="3285" w:type="pct"/>
          </w:tcPr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18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</w:tr>
      <w:tr w:rsidR="00F07FF6" w:rsidTr="00A613B2">
        <w:tc>
          <w:tcPr>
            <w:tcW w:w="3285" w:type="pct"/>
          </w:tcPr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F07FF6" w:rsidTr="00A613B2">
        <w:tc>
          <w:tcPr>
            <w:tcW w:w="3285" w:type="pct"/>
          </w:tcPr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F07FF6" w:rsidTr="00A613B2">
        <w:tc>
          <w:tcPr>
            <w:tcW w:w="3285" w:type="pct"/>
          </w:tcPr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18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F07FF6" w:rsidTr="00A613B2">
        <w:tc>
          <w:tcPr>
            <w:tcW w:w="3285" w:type="pct"/>
          </w:tcPr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F07FF6" w:rsidTr="00A613B2">
        <w:tc>
          <w:tcPr>
            <w:tcW w:w="3285" w:type="pct"/>
          </w:tcPr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07FF6" w:rsidRDefault="00F07FF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DLA PRZEDMIOTU</w:t>
            </w:r>
          </w:p>
        </w:tc>
        <w:tc>
          <w:tcPr>
            <w:tcW w:w="897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50</w:t>
            </w:r>
          </w:p>
        </w:tc>
        <w:tc>
          <w:tcPr>
            <w:tcW w:w="818" w:type="pct"/>
          </w:tcPr>
          <w:p w:rsidR="00F07FF6" w:rsidRPr="001B37F5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37F5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2 </w:t>
            </w:r>
          </w:p>
        </w:tc>
      </w:tr>
    </w:tbl>
    <w:p w:rsidR="00F07FF6" w:rsidRDefault="00F07FF6" w:rsidP="00F07FF6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A82771">
        <w:t xml:space="preserve"> </w:t>
      </w:r>
      <w:r w:rsidRPr="00A82771">
        <w:rPr>
          <w:rFonts w:ascii="Arial" w:eastAsia="Times New Roman" w:hAnsi="Arial" w:cs="Arial"/>
          <w:sz w:val="24"/>
          <w:szCs w:val="24"/>
        </w:rPr>
        <w:t xml:space="preserve">Marcinek K., </w:t>
      </w:r>
      <w:r w:rsidRPr="00A82771">
        <w:rPr>
          <w:rFonts w:ascii="Arial" w:eastAsia="Times New Roman" w:hAnsi="Arial" w:cs="Arial"/>
          <w:i/>
          <w:iCs/>
          <w:sz w:val="24"/>
          <w:szCs w:val="24"/>
        </w:rPr>
        <w:t>Wprowadzenie do inwestowania</w:t>
      </w:r>
      <w:r w:rsidRPr="00A82771">
        <w:rPr>
          <w:rFonts w:ascii="Arial" w:eastAsia="Times New Roman" w:hAnsi="Arial" w:cs="Arial"/>
          <w:sz w:val="24"/>
          <w:szCs w:val="24"/>
        </w:rPr>
        <w:t>, Wydawnictwo UE w Katowicach, Katowice 2014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82771">
        <w:rPr>
          <w:rFonts w:ascii="Arial" w:eastAsia="Times New Roman" w:hAnsi="Arial" w:cs="Arial"/>
          <w:sz w:val="24"/>
          <w:szCs w:val="24"/>
        </w:rPr>
        <w:t xml:space="preserve">2. </w:t>
      </w:r>
      <w:proofErr w:type="spellStart"/>
      <w:r w:rsidRPr="00A82771">
        <w:rPr>
          <w:rFonts w:ascii="Arial" w:eastAsia="Times New Roman" w:hAnsi="Arial" w:cs="Arial"/>
          <w:sz w:val="24"/>
          <w:szCs w:val="24"/>
        </w:rPr>
        <w:t>Kuczowic</w:t>
      </w:r>
      <w:proofErr w:type="spellEnd"/>
      <w:r w:rsidRPr="00A82771">
        <w:rPr>
          <w:rFonts w:ascii="Arial" w:eastAsia="Times New Roman" w:hAnsi="Arial" w:cs="Arial"/>
          <w:sz w:val="24"/>
          <w:szCs w:val="24"/>
        </w:rPr>
        <w:t xml:space="preserve"> J., </w:t>
      </w:r>
      <w:proofErr w:type="spellStart"/>
      <w:r w:rsidRPr="00A82771">
        <w:rPr>
          <w:rFonts w:ascii="Arial" w:eastAsia="Times New Roman" w:hAnsi="Arial" w:cs="Arial"/>
          <w:sz w:val="24"/>
          <w:szCs w:val="24"/>
        </w:rPr>
        <w:t>Kuczowic</w:t>
      </w:r>
      <w:proofErr w:type="spellEnd"/>
      <w:r w:rsidRPr="00A82771">
        <w:rPr>
          <w:rFonts w:ascii="Arial" w:eastAsia="Times New Roman" w:hAnsi="Arial" w:cs="Arial"/>
          <w:sz w:val="24"/>
          <w:szCs w:val="24"/>
        </w:rPr>
        <w:t xml:space="preserve"> K., </w:t>
      </w:r>
      <w:r w:rsidRPr="00A82771">
        <w:rPr>
          <w:rFonts w:ascii="Arial" w:eastAsia="Times New Roman" w:hAnsi="Arial" w:cs="Arial"/>
          <w:i/>
          <w:iCs/>
          <w:sz w:val="24"/>
          <w:szCs w:val="24"/>
        </w:rPr>
        <w:t>Decyzje inwestycyjne – wybrane zagadnienia,</w:t>
      </w:r>
      <w:r w:rsidRPr="00A82771">
        <w:rPr>
          <w:rFonts w:ascii="Arial" w:eastAsia="Times New Roman" w:hAnsi="Arial" w:cs="Arial"/>
          <w:sz w:val="24"/>
          <w:szCs w:val="24"/>
        </w:rPr>
        <w:t xml:space="preserve"> Wydawnictwo UE w Katowicach, Katowice 2011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07FF6" w:rsidRDefault="00F07FF6" w:rsidP="00F07FF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82771">
        <w:rPr>
          <w:rFonts w:ascii="Arial" w:eastAsia="Times New Roman" w:hAnsi="Arial" w:cs="Arial"/>
          <w:sz w:val="24"/>
          <w:szCs w:val="24"/>
        </w:rPr>
        <w:t xml:space="preserve">3. Redo M., </w:t>
      </w:r>
      <w:proofErr w:type="spellStart"/>
      <w:r w:rsidRPr="00A82771">
        <w:rPr>
          <w:rFonts w:ascii="Arial" w:eastAsia="Times New Roman" w:hAnsi="Arial" w:cs="Arial"/>
          <w:sz w:val="24"/>
          <w:szCs w:val="24"/>
        </w:rPr>
        <w:t>Prewysz</w:t>
      </w:r>
      <w:proofErr w:type="spellEnd"/>
      <w:r w:rsidRPr="00A82771">
        <w:rPr>
          <w:rFonts w:ascii="Arial" w:eastAsia="Times New Roman" w:hAnsi="Arial" w:cs="Arial"/>
          <w:sz w:val="24"/>
          <w:szCs w:val="24"/>
        </w:rPr>
        <w:t xml:space="preserve">-Kwinto P., </w:t>
      </w:r>
      <w:r w:rsidRPr="00A82771">
        <w:rPr>
          <w:rFonts w:ascii="Arial" w:eastAsia="Times New Roman" w:hAnsi="Arial" w:cs="Arial"/>
          <w:i/>
          <w:iCs/>
          <w:sz w:val="24"/>
          <w:szCs w:val="24"/>
        </w:rPr>
        <w:t>Matematyka finansowa, Teoria i praktyka,</w:t>
      </w:r>
      <w:r w:rsidRPr="00A82771">
        <w:rPr>
          <w:rFonts w:ascii="Arial" w:eastAsia="Times New Roman" w:hAnsi="Arial" w:cs="Arial"/>
          <w:sz w:val="24"/>
          <w:szCs w:val="24"/>
        </w:rPr>
        <w:t xml:space="preserve"> PWN,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82771">
        <w:rPr>
          <w:rFonts w:ascii="Arial" w:eastAsia="Times New Roman" w:hAnsi="Arial" w:cs="Arial"/>
          <w:sz w:val="24"/>
          <w:szCs w:val="24"/>
        </w:rPr>
        <w:t>Warszawa 2021.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F07FF6" w:rsidRPr="00706998" w:rsidRDefault="00F07FF6" w:rsidP="00F07FF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  <w:proofErr w:type="spellStart"/>
      <w:r w:rsidRPr="00706998">
        <w:rPr>
          <w:rFonts w:ascii="Arial" w:eastAsia="Calibri" w:hAnsi="Arial" w:cs="Arial"/>
          <w:b/>
          <w:bCs/>
          <w:sz w:val="24"/>
          <w:szCs w:val="24"/>
          <w:lang w:val="en-US"/>
        </w:rPr>
        <w:t>Literatura</w:t>
      </w:r>
      <w:proofErr w:type="spellEnd"/>
      <w:r w:rsidRPr="00706998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06998">
        <w:rPr>
          <w:rFonts w:ascii="Arial" w:eastAsia="Calibri" w:hAnsi="Arial" w:cs="Arial"/>
          <w:b/>
          <w:bCs/>
          <w:sz w:val="24"/>
          <w:szCs w:val="24"/>
          <w:lang w:val="en-US"/>
        </w:rPr>
        <w:t>uzupełniająca</w:t>
      </w:r>
      <w:proofErr w:type="spellEnd"/>
      <w:r w:rsidRPr="00706998">
        <w:rPr>
          <w:rFonts w:ascii="Arial" w:eastAsia="Calibri" w:hAnsi="Arial" w:cs="Arial"/>
          <w:b/>
          <w:bCs/>
          <w:sz w:val="24"/>
          <w:szCs w:val="24"/>
          <w:lang w:val="en-US"/>
        </w:rPr>
        <w:t>: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1.</w:t>
      </w:r>
      <w:r w:rsidRPr="00A82771">
        <w:rPr>
          <w:lang w:val="en-GB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Korombel A., Ławińska O.,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  <w:lang w:val="en-GB"/>
        </w:rPr>
        <w:t>Private Investments in European Union Countries - Polish Case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4th International Conference on European Integration 2018 (ICEI 2018), Ostrava,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Czechy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(17 do 18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maja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2018 r.). Proceedings of the 4th International Conference on European Integration 2018 (red.)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Stanickova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M.,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Melecky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L.,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Kovarova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E.,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Dvorokova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K., VSB - Technical University of Ostrava, Ostrava 2018, s. 789-797.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t>2.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Korombel A., K. Krysiak (2024),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Ryzyko najmu na rynku nieruchomości mieszkaniowych - perspektywa najemcy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, Zeszyty Naukowe Wyższej Szkoły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Humanitas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Zarządzanie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Tom 25,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Nr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2, s. 139-158.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3.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Szczepańczyk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Marta,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  <w:lang w:val="en-GB"/>
        </w:rPr>
        <w:t>Investments of local self-government units in the light of the assumptions of sustainable urban development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Zeszyty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Naukowe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Wyższej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Szkoły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Humanitas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. </w:t>
      </w:r>
      <w:r w:rsidRPr="00A82771">
        <w:rPr>
          <w:rFonts w:ascii="Arial" w:eastAsia="Calibri" w:hAnsi="Arial" w:cs="Arial"/>
          <w:bCs/>
          <w:sz w:val="24"/>
          <w:szCs w:val="24"/>
        </w:rPr>
        <w:t>Zarządzanie, T. 24, nr 4. 2023.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t>4.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Sitek M., Skibiński A., Sipa M., Gorzeń-Mitka I.,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Pośrednie inwestowanie w nieruchomości poprzez rynek finansowy</w:t>
      </w:r>
      <w:r w:rsidRPr="00A82771">
        <w:rPr>
          <w:rFonts w:ascii="Arial" w:eastAsia="Calibri" w:hAnsi="Arial" w:cs="Arial"/>
          <w:bCs/>
          <w:sz w:val="24"/>
          <w:szCs w:val="24"/>
        </w:rPr>
        <w:t>, w: Mikro- i makroekonomiczny wymiar rynku nieruchomości i inwestycji (red.) A. Korombel, Politechnika Częstochowska, Częstochowa, 2021.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t>5.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Kuraś P.,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Finansowanie inwestycji w nieruchomości komercyjne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, [w:] Finansowe aspekty funkcjonowania przedsiębiorstw w XXI wieku, red. 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O. Ławińska, M. Okręglicka,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Wydawnictwo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Politechniki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Częstochowskiej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Częstochowa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2011, s. 72-85.</w:t>
      </w:r>
    </w:p>
    <w:p w:rsidR="00F07FF6" w:rsidRPr="00A82771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6.</w:t>
      </w:r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>Kapler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 M., Piersiala L.,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  <w:lang w:val="en-GB"/>
        </w:rPr>
        <w:t>Special Economic Zones in Context of Foreign Investment in Poland</w:t>
      </w:r>
      <w:r w:rsidRPr="00A82771">
        <w:rPr>
          <w:rFonts w:ascii="Arial" w:eastAsia="Calibri" w:hAnsi="Arial" w:cs="Arial"/>
          <w:bCs/>
          <w:sz w:val="24"/>
          <w:szCs w:val="24"/>
          <w:lang w:val="en-GB"/>
        </w:rPr>
        <w:t xml:space="preserve">, [w:] Economic and Social Development 2019 (38th International Scientific Conference), red. 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HAMMES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Khalid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 xml:space="preserve">, MACHRAFI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Mustapha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 xml:space="preserve">, SAMODOL </w:t>
      </w:r>
      <w:proofErr w:type="spellStart"/>
      <w:r w:rsidRPr="00A82771">
        <w:rPr>
          <w:rFonts w:ascii="Arial" w:eastAsia="Calibri" w:hAnsi="Arial" w:cs="Arial"/>
          <w:bCs/>
          <w:sz w:val="24"/>
          <w:szCs w:val="24"/>
        </w:rPr>
        <w:t>Ante</w:t>
      </w:r>
      <w:proofErr w:type="spellEnd"/>
      <w:r w:rsidRPr="00A82771">
        <w:rPr>
          <w:rFonts w:ascii="Arial" w:eastAsia="Calibri" w:hAnsi="Arial" w:cs="Arial"/>
          <w:bCs/>
          <w:sz w:val="24"/>
          <w:szCs w:val="24"/>
        </w:rPr>
        <w:t>, Varazdin 2019.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A82771">
        <w:rPr>
          <w:rFonts w:ascii="Arial" w:eastAsia="Calibri" w:hAnsi="Arial" w:cs="Arial"/>
          <w:bCs/>
          <w:sz w:val="24"/>
          <w:szCs w:val="24"/>
        </w:rPr>
        <w:lastRenderedPageBreak/>
        <w:t>7.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82771">
        <w:rPr>
          <w:rFonts w:ascii="Arial" w:eastAsia="Calibri" w:hAnsi="Arial" w:cs="Arial"/>
          <w:bCs/>
          <w:i/>
          <w:iCs/>
          <w:sz w:val="24"/>
          <w:szCs w:val="24"/>
        </w:rPr>
        <w:t>Mikro- i makroekonomiczny wymiar rynku nieruchomości i inwestycji</w:t>
      </w:r>
      <w:r w:rsidRPr="00A82771">
        <w:rPr>
          <w:rFonts w:ascii="Arial" w:eastAsia="Calibri" w:hAnsi="Arial" w:cs="Arial"/>
          <w:bCs/>
          <w:sz w:val="24"/>
          <w:szCs w:val="24"/>
        </w:rPr>
        <w:t xml:space="preserve"> (2021), Korombel A. (red.), Wydawnictwo Politechniki Częstochowskiej, Częstochowa.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7FF6" w:rsidRDefault="00F07FF6" w:rsidP="00F07FF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F07FF6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pl-PL"/>
        </w:rPr>
      </w:pPr>
      <w:r w:rsidRPr="00A82771">
        <w:rPr>
          <w:rFonts w:ascii="Arial" w:eastAsia="Times New Roman" w:hAnsi="Arial" w:cs="Arial"/>
          <w:sz w:val="24"/>
          <w:szCs w:val="24"/>
          <w:lang w:val="en-GB" w:eastAsia="pl-PL"/>
        </w:rPr>
        <w:t>1.</w:t>
      </w:r>
      <w:r w:rsidRPr="00A82771">
        <w:rPr>
          <w:lang w:val="en-GB"/>
        </w:rPr>
        <w:t xml:space="preserve"> </w:t>
      </w:r>
      <w:r w:rsidRPr="00A82771">
        <w:rPr>
          <w:rFonts w:ascii="Arial" w:eastAsia="Times New Roman" w:hAnsi="Arial" w:cs="Arial"/>
          <w:sz w:val="24"/>
          <w:szCs w:val="24"/>
          <w:lang w:val="en-GB" w:eastAsia="pl-PL"/>
        </w:rPr>
        <w:t>Dr hab. Anna Korombel, prof. PCz, anna.korombel@pcz.pl</w:t>
      </w:r>
    </w:p>
    <w:p w:rsidR="00F07FF6" w:rsidRPr="00A82771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>Dr Olga Ławińska, olga.lawinska@pcz.pl</w:t>
      </w:r>
    </w:p>
    <w:p w:rsidR="00F07FF6" w:rsidRPr="00A82771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>Dr Marta Szczepańczyk, marta.szczepanczyk@pcz.pl</w:t>
      </w:r>
    </w:p>
    <w:p w:rsidR="00F07FF6" w:rsidRPr="00A82771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val="en-GB" w:eastAsia="pl-PL"/>
        </w:rPr>
      </w:pPr>
      <w:r>
        <w:rPr>
          <w:rFonts w:ascii="Arial" w:eastAsia="Times New Roman" w:hAnsi="Arial" w:cs="Arial"/>
          <w:sz w:val="24"/>
          <w:szCs w:val="24"/>
          <w:lang w:val="en-GB" w:eastAsia="pl-PL"/>
        </w:rPr>
        <w:t xml:space="preserve">4. </w:t>
      </w:r>
      <w:r w:rsidRPr="00A82771">
        <w:rPr>
          <w:rFonts w:ascii="Arial" w:eastAsia="Times New Roman" w:hAnsi="Arial" w:cs="Arial"/>
          <w:sz w:val="24"/>
          <w:szCs w:val="24"/>
          <w:lang w:val="en-GB" w:eastAsia="pl-PL"/>
        </w:rPr>
        <w:t>Dr Marcin Sitek, marcin.sitek@pcz.pl</w:t>
      </w:r>
    </w:p>
    <w:p w:rsidR="00F07FF6" w:rsidRPr="00A82771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>Dr Piotr Kuraś, piotr.kuras@pcz.pl</w:t>
      </w:r>
    </w:p>
    <w:p w:rsidR="00F07FF6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A82771">
        <w:rPr>
          <w:rFonts w:ascii="Arial" w:eastAsia="Times New Roman" w:hAnsi="Arial" w:cs="Arial"/>
          <w:sz w:val="24"/>
          <w:szCs w:val="24"/>
          <w:lang w:eastAsia="pl-PL"/>
        </w:rPr>
        <w:t xml:space="preserve">Dr Monika </w:t>
      </w:r>
      <w:proofErr w:type="spellStart"/>
      <w:r w:rsidRPr="00A82771">
        <w:rPr>
          <w:rFonts w:ascii="Arial" w:eastAsia="Times New Roman" w:hAnsi="Arial" w:cs="Arial"/>
          <w:sz w:val="24"/>
          <w:szCs w:val="24"/>
          <w:lang w:eastAsia="pl-PL"/>
        </w:rPr>
        <w:t>Kapler</w:t>
      </w:r>
      <w:proofErr w:type="spellEnd"/>
      <w:r w:rsidRPr="00A82771">
        <w:rPr>
          <w:rFonts w:ascii="Arial" w:eastAsia="Times New Roman" w:hAnsi="Arial" w:cs="Arial"/>
          <w:sz w:val="24"/>
          <w:szCs w:val="24"/>
          <w:lang w:eastAsia="pl-PL"/>
        </w:rPr>
        <w:t>, monika.kapler@pcz.pl</w:t>
      </w:r>
    </w:p>
    <w:p w:rsidR="00F07FF6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07FF6" w:rsidRDefault="00F07FF6" w:rsidP="00F07FF6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07FF6" w:rsidTr="00A613B2">
        <w:tc>
          <w:tcPr>
            <w:tcW w:w="589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F07FF6" w:rsidTr="00A613B2">
        <w:tc>
          <w:tcPr>
            <w:tcW w:w="589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C1-C3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W1-W9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P2</w:t>
            </w:r>
          </w:p>
        </w:tc>
      </w:tr>
      <w:tr w:rsidR="00F07FF6" w:rsidTr="00A613B2">
        <w:tc>
          <w:tcPr>
            <w:tcW w:w="589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 xml:space="preserve">W2-W3, </w:t>
            </w:r>
          </w:p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C1-C5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F07FF6" w:rsidTr="00A613B2">
        <w:tc>
          <w:tcPr>
            <w:tcW w:w="589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 xml:space="preserve">W4-W5, </w:t>
            </w:r>
          </w:p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C6-C8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  <w:tr w:rsidR="00F07FF6" w:rsidTr="00A613B2">
        <w:tc>
          <w:tcPr>
            <w:tcW w:w="589" w:type="pct"/>
            <w:shd w:val="clear" w:color="auto" w:fill="auto"/>
          </w:tcPr>
          <w:p w:rsidR="00F07FF6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K_W01, K_W07, K_U01, K_U09, K_K01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A82771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 xml:space="preserve">W6-W7, </w:t>
            </w:r>
          </w:p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C9-C12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1,2,3,4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F6" w:rsidRPr="000B481E" w:rsidRDefault="00F07FF6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B481E">
              <w:rPr>
                <w:rFonts w:ascii="Arial" w:hAnsi="Arial" w:cs="Arial"/>
                <w:bCs/>
                <w:sz w:val="24"/>
                <w:szCs w:val="24"/>
              </w:rPr>
              <w:t>F1,P1</w:t>
            </w:r>
          </w:p>
        </w:tc>
      </w:tr>
    </w:tbl>
    <w:p w:rsidR="00F07FF6" w:rsidRDefault="00F07FF6" w:rsidP="00F07FF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07FF6" w:rsidRDefault="00F07FF6" w:rsidP="00F07FF6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07FF6" w:rsidRPr="00A82771" w:rsidRDefault="00F07FF6" w:rsidP="00F07FF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–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F07FF6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F07FF6" w:rsidRDefault="00F07FF6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F07FF6" w:rsidRDefault="00F07FF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F07FF6" w:rsidTr="00A613B2">
        <w:trPr>
          <w:trHeight w:hRule="exact" w:val="2859"/>
        </w:trPr>
        <w:tc>
          <w:tcPr>
            <w:tcW w:w="521" w:type="pct"/>
            <w:shd w:val="clear" w:color="auto" w:fill="FFFFFF"/>
          </w:tcPr>
          <w:p w:rsidR="00F07FF6" w:rsidRDefault="00F07FF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nie zna znaczenia teoretycznych pojęć przedstawianych na wykładach.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zna znaczenie  60%-74% teoretycznych pojęć przedstawianych na wykładach.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zna znaczenie 75%-89% teoretycznych pojęć przedstawianych na wykładach.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sz w:val="24"/>
                <w:szCs w:val="24"/>
              </w:rPr>
              <w:t>Student zna znaczenie 90%-100% teoretycznych pojęć przedstawianych na wykładach.</w:t>
            </w:r>
          </w:p>
        </w:tc>
      </w:tr>
      <w:tr w:rsidR="00F07FF6" w:rsidTr="00A613B2">
        <w:trPr>
          <w:trHeight w:hRule="exact" w:val="5094"/>
        </w:trPr>
        <w:tc>
          <w:tcPr>
            <w:tcW w:w="521" w:type="pct"/>
            <w:shd w:val="clear" w:color="auto" w:fill="FFFFFF"/>
          </w:tcPr>
          <w:p w:rsidR="00F07FF6" w:rsidRDefault="00F07FF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nie zna założeń teorii zmienności wartości pieniądza w czasie oraz nie potrafi rozwiązywać związanych z tym zadań.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zna założenia teorii zmienności wartości pieniądza w czasie oraz potrafi rozwiązywać związane z tym zadania </w:t>
            </w:r>
            <w:r w:rsidRPr="00A82771">
              <w:rPr>
                <w:rFonts w:ascii="Arial" w:hAnsi="Arial" w:cs="Arial"/>
                <w:sz w:val="24"/>
                <w:szCs w:val="24"/>
              </w:rPr>
              <w:t>w bardzo ograniczonym zakresie.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zna założenia teorii zmienności wartości pieniądza w czasie oraz potrafi rozwiązywać związane z tym zadania</w:t>
            </w:r>
            <w:r w:rsidRPr="00A82771">
              <w:rPr>
                <w:rFonts w:ascii="Arial" w:hAnsi="Arial" w:cs="Arial"/>
                <w:sz w:val="24"/>
                <w:szCs w:val="24"/>
              </w:rPr>
              <w:t>, popełnia jednak błędy.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zna założenia teorii zmienności wartości pieniądza w czasie oraz potrafi rozwiązywać wszystkie związane z tym zadania. </w:t>
            </w:r>
          </w:p>
        </w:tc>
      </w:tr>
      <w:tr w:rsidR="00F07FF6" w:rsidTr="00A613B2">
        <w:trPr>
          <w:trHeight w:hRule="exact" w:val="5409"/>
        </w:trPr>
        <w:tc>
          <w:tcPr>
            <w:tcW w:w="521" w:type="pct"/>
            <w:shd w:val="clear" w:color="auto" w:fill="FFFFFF"/>
          </w:tcPr>
          <w:p w:rsidR="00F07FF6" w:rsidRDefault="00F07FF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nie wyjaśnia pojęć i rodzajów inwestycji finansowych oraz nie potrafi rozwiązywać zadań związanych z oceną tych inwestycji.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wyjaśnia pojęcia i rodzaje inwestycji finansowych oraz potrafi rozwiązywać zadania związane z oceną tych inwestycji </w:t>
            </w:r>
            <w:r w:rsidRPr="00A82771">
              <w:rPr>
                <w:rFonts w:ascii="Arial" w:hAnsi="Arial" w:cs="Arial"/>
                <w:sz w:val="24"/>
                <w:szCs w:val="24"/>
              </w:rPr>
              <w:t>w bardzo ograniczonym zakresie.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finansowych oraz potrafi rozwiązywać zadania związane z oceną tych inwestycji, popełnia jednak błędy.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finansowych oraz potrafi rozwiązywać wszystkie zadania związane z oceną tych inwestycji.</w:t>
            </w:r>
          </w:p>
        </w:tc>
      </w:tr>
      <w:tr w:rsidR="00F07FF6" w:rsidTr="00A613B2">
        <w:trPr>
          <w:trHeight w:hRule="exact" w:val="5514"/>
        </w:trPr>
        <w:tc>
          <w:tcPr>
            <w:tcW w:w="521" w:type="pct"/>
            <w:shd w:val="clear" w:color="auto" w:fill="FFFFFF"/>
          </w:tcPr>
          <w:p w:rsidR="00F07FF6" w:rsidRDefault="00F07FF6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nie wyjaśnia pojęć i rodzajów inwestycji rzeczowych oraz nie potrafi rozwiązywać zadań związanych z oceną tych inwestycji.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 xml:space="preserve">Student wyjaśnia pojęcia i rodzaje inwestycji rzeczowych oraz potrafi rozwiązywać zadania związane z oceną tych inwestycji </w:t>
            </w:r>
            <w:r w:rsidRPr="00A82771">
              <w:rPr>
                <w:rFonts w:ascii="Arial" w:hAnsi="Arial" w:cs="Arial"/>
                <w:sz w:val="24"/>
                <w:szCs w:val="24"/>
              </w:rPr>
              <w:t>w bardzo ograniczonym zakresie.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rzeczowych oraz potrafi rozwiązywać zadania związane z oceną tych inwestycji, popełnia jednak błędy.</w:t>
            </w: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F6" w:rsidRPr="00A82771" w:rsidRDefault="00F07FF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A82771">
              <w:rPr>
                <w:rFonts w:ascii="Arial" w:hAnsi="Arial" w:cs="Arial"/>
                <w:bCs/>
                <w:sz w:val="24"/>
                <w:szCs w:val="24"/>
              </w:rPr>
              <w:t>Student wyjaśnia pojęcia i rodzaje inwestycji rzeczowych oraz potrafi rozwiązywać wszystkie zadania związane z oceną tych inwestycji.</w:t>
            </w:r>
          </w:p>
        </w:tc>
      </w:tr>
    </w:tbl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F07FF6" w:rsidRDefault="00F07FF6" w:rsidP="00F07FF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A7678"/>
    <w:multiLevelType w:val="hybridMultilevel"/>
    <w:tmpl w:val="652E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F6"/>
    <w:rsid w:val="00662216"/>
    <w:rsid w:val="00F0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B05CF-AB50-4E1B-B688-E0656823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07FF6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0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1350</Words>
  <Characters>8105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2025-08-22T09:19:00Z</dcterms:created>
  <dcterms:modified xsi:type="dcterms:W3CDTF">2025-08-22T09:20:00Z</dcterms:modified>
</cp:coreProperties>
</file>