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8F" w:rsidRPr="00852D2B" w:rsidRDefault="0053538F" w:rsidP="0053538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SYLLABUS TO THE SUBJECT/SYLABUS DO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431"/>
      </w:tblGrid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Item Name/Nazwa przedmiotu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Managerial economics</w:t>
            </w:r>
            <w:bookmarkEnd w:id="0"/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Direction/Kierunek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Management</w:t>
            </w:r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Form of study/Forma studiów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Stationary</w:t>
            </w:r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Level of education/Poziom kształcenia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Second degree</w:t>
            </w:r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Year/Rok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Semester/Semestr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53538F" w:rsidRPr="009B2EFC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Guide unit/Jednostka prowadząca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Department of Economics, Investments and Real Estate</w:t>
            </w:r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Drafter/Osoba sporządzająca 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Ing. Andrzej Skibiński PhD</w:t>
            </w:r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Profile/Profil 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General academic</w:t>
            </w:r>
          </w:p>
        </w:tc>
      </w:tr>
      <w:tr w:rsidR="0053538F" w:rsidRPr="00852D2B" w:rsidTr="001D3F6E">
        <w:trPr>
          <w:trHeight w:val="567"/>
        </w:trPr>
        <w:tc>
          <w:tcPr>
            <w:tcW w:w="3984" w:type="dxa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Number of ECTS credits/Liczba punktów ECTS</w:t>
            </w:r>
          </w:p>
        </w:tc>
        <w:tc>
          <w:tcPr>
            <w:tcW w:w="6359" w:type="dxa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</w:tbl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TYPE OF CLASSES - NUMBER OF HOURS PER SEMESTER?RODZAJ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53538F" w:rsidRPr="00852D2B" w:rsidTr="001D3F6E">
        <w:trPr>
          <w:trHeight w:val="567"/>
        </w:trPr>
        <w:tc>
          <w:tcPr>
            <w:tcW w:w="842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Lecture/Wykład</w:t>
            </w:r>
          </w:p>
        </w:tc>
        <w:tc>
          <w:tcPr>
            <w:tcW w:w="969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Exercise/Ćwiczenia</w:t>
            </w:r>
          </w:p>
        </w:tc>
        <w:tc>
          <w:tcPr>
            <w:tcW w:w="1267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Laboratory/Laboratorium</w:t>
            </w:r>
          </w:p>
        </w:tc>
        <w:tc>
          <w:tcPr>
            <w:tcW w:w="876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Project/Projekt</w:t>
            </w:r>
          </w:p>
        </w:tc>
        <w:tc>
          <w:tcPr>
            <w:tcW w:w="1046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Seminar/Seminarium</w:t>
            </w:r>
          </w:p>
        </w:tc>
      </w:tr>
      <w:tr w:rsidR="0053538F" w:rsidRPr="00852D2B" w:rsidTr="001D3F6E">
        <w:trPr>
          <w:trHeight w:val="567"/>
        </w:trPr>
        <w:tc>
          <w:tcPr>
            <w:tcW w:w="842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</w:rPr>
              <w:t>15E</w:t>
            </w:r>
          </w:p>
        </w:tc>
        <w:tc>
          <w:tcPr>
            <w:tcW w:w="969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267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852D2B">
        <w:rPr>
          <w:rFonts w:ascii="Arial" w:eastAsia="Calibri" w:hAnsi="Arial" w:cs="Arial"/>
          <w:b/>
          <w:sz w:val="24"/>
          <w:szCs w:val="24"/>
          <w:u w:val="single"/>
        </w:rPr>
        <w:t>COURSE DESCRIPTION/OPIS PRZEDMIOTU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PURPOSE OF THE COURSE/CEL PRZEDMIOTU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C1. </w:t>
      </w: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Familiarizing students with issues related to the process of making managerial decisions in an enterprise.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 xml:space="preserve">C2. </w:t>
      </w: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To familiarize students with the basic rules of making managerial decisions in the light of selected analyses.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C3. </w:t>
      </w: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To familiarize students with decision-making under risk conditions and in selected market structures </w:t>
      </w:r>
      <w:r w:rsidRPr="00852D2B">
        <w:rPr>
          <w:rFonts w:ascii="Arial" w:eastAsia="Calibri" w:hAnsi="Arial" w:cs="Arial"/>
          <w:color w:val="FF0000"/>
          <w:sz w:val="24"/>
          <w:szCs w:val="24"/>
          <w:lang w:val="en-GB"/>
        </w:rPr>
        <w:t>.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52D2B">
        <w:rPr>
          <w:rFonts w:ascii="Arial" w:eastAsia="Calibri" w:hAnsi="Arial" w:cs="Arial"/>
          <w:b/>
          <w:sz w:val="24"/>
          <w:szCs w:val="24"/>
        </w:rPr>
        <w:lastRenderedPageBreak/>
        <w:t>PREREQUISITES FOR KNOWLEDGE, SKILLS AND OTHER COMPETENCIES/WYMAGANIA WSTĘPNE W ZAKRESIE WIEDZY, UMIEJĘTNOŚCI I INNYCH KOMPETENCJI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1. The student has knowledge of basic issues in the field of microeconomics and corporate finance.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2. The student has general knowledge of basic issues in the field of statistics.</w:t>
      </w:r>
    </w:p>
    <w:p w:rsidR="0053538F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LEARNING OUTCOMES/EFEKTY UCZENIA SIĘ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EU 1 </w:t>
      </w: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– The student is able to characterize the basic rules of making managerial decisions based on marginal analysis, demand, supply, production and cost analyses.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EU 2 </w:t>
      </w: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– The student is able to demonstrate the specificity of making managerial decisions under conditions of risk and uncertainty.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EU 3 – </w:t>
      </w: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The student is able to use economic analysis tools in considering different variants of managerial decisions.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EU 4 – </w:t>
      </w:r>
      <w:r w:rsidRPr="00852D2B">
        <w:rPr>
          <w:rFonts w:ascii="Arial" w:eastAsia="Calibri" w:hAnsi="Arial" w:cs="Arial"/>
          <w:color w:val="000000"/>
          <w:sz w:val="24"/>
          <w:szCs w:val="24"/>
          <w:lang w:val="en-GB"/>
        </w:rPr>
        <w:t>The student is able to make basic characteristics of competition in various markets.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sz w:val="24"/>
          <w:szCs w:val="24"/>
        </w:rPr>
        <w:t>CURRICULUM CONTENT/TREŚCI</w:t>
      </w: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53538F" w:rsidRPr="009B2EFC" w:rsidTr="001D3F6E">
        <w:trPr>
          <w:trHeight w:val="890"/>
        </w:trPr>
        <w:tc>
          <w:tcPr>
            <w:tcW w:w="4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Form of classes/Forma zajęć –LECTURE/ WYKŁADY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2960C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Number of hours/Ilość godzin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 1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Introductory classes. Presentation of the principles of work in class. Presentation of subject literature, thematic issues to be covered during the lecture and exam conditions.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1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 2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Introduction to economic decision-making.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1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 3 - W 4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Decision-making and enterprise optimization based on marginal analysis.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 5 - W 6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Modeling and decisions based on the enterprise's demand and supply functions.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 7 - W 8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Enterprise decisions regarding costs.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 9 - W 10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Enterprise decisions under conditions of uncertainty and risk.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In 11 - In 12.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The value of information.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 13 - W 14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Functioning of enterprises in various market structures.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lastRenderedPageBreak/>
              <w:t xml:space="preserve">W 15 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GB"/>
              </w:rPr>
              <w:t>Summary of lecture sessions.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</w:rPr>
              <w:t>1</w:t>
            </w:r>
          </w:p>
        </w:tc>
      </w:tr>
      <w:tr w:rsidR="0053538F" w:rsidRPr="009B2EFC" w:rsidTr="001D3F6E">
        <w:trPr>
          <w:trHeight w:val="641"/>
        </w:trPr>
        <w:tc>
          <w:tcPr>
            <w:tcW w:w="4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Form of classes/Forma zajęć – EXERCISE/ĆWICZENIA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2960C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Number of hours/Ilość godzin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1 – CW 2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Introductory classes. Presentation of the rules of work during classes. Presentation of subject literature, thematic issues to be covered during classes and conditions for passing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3 – CW 4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Introduction to the issue of making economic decisions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5 – CW 8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Decision-making and enterprise optimization based on marginal analysis.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9 – CW 12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Modeling and decisions based on the enterprise's demand and supply functions.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13 – CW 16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Cost-related business decisions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17 – CW 20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Corporate Decisions Under Uncertainty and Risk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21 – CW 22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The value of information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23 – CW 26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Functioning of enterprises in different market structures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CW 27 – CW 28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Final test.</w:t>
            </w:r>
          </w:p>
        </w:tc>
        <w:tc>
          <w:tcPr>
            <w:tcW w:w="789" w:type="pct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3538F" w:rsidRPr="00852D2B" w:rsidTr="001D3F6E">
        <w:tc>
          <w:tcPr>
            <w:tcW w:w="4211" w:type="pct"/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pl-PL"/>
              </w:rPr>
              <w:t xml:space="preserve">CW 29 – CW 30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Summary of classes within the subject taught. </w:t>
            </w: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Make-up test</w:t>
            </w:r>
          </w:p>
        </w:tc>
        <w:tc>
          <w:tcPr>
            <w:tcW w:w="789" w:type="pct"/>
            <w:vAlign w:val="center"/>
          </w:tcPr>
          <w:p w:rsidR="0053538F" w:rsidRPr="002960C0" w:rsidRDefault="0053538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6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53538F" w:rsidRPr="00852D2B" w:rsidRDefault="0053538F" w:rsidP="0053538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DIDACTIC TOOLS/NARZĘDZIA DYDAKTYCZNE</w:t>
      </w: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Audiovisual equipment.</w:t>
      </w:r>
    </w:p>
    <w:p w:rsidR="0053538F" w:rsidRPr="00852D2B" w:rsidRDefault="0053538F" w:rsidP="0053538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Blackboard, chalk, markers.</w:t>
      </w:r>
    </w:p>
    <w:p w:rsidR="0053538F" w:rsidRPr="00852D2B" w:rsidRDefault="0053538F" w:rsidP="0053538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Case study content.</w:t>
      </w:r>
    </w:p>
    <w:p w:rsidR="0053538F" w:rsidRPr="00852D2B" w:rsidRDefault="0053538F" w:rsidP="0053538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Manuals and scripts, thematic films.</w:t>
      </w:r>
    </w:p>
    <w:p w:rsidR="0053538F" w:rsidRPr="00852D2B" w:rsidRDefault="0053538F" w:rsidP="0053538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E-learning platform.</w:t>
      </w:r>
    </w:p>
    <w:p w:rsidR="0053538F" w:rsidRPr="00852D2B" w:rsidRDefault="0053538F" w:rsidP="0053538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Assignment forms.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METHODS OF ASSESSMENT (F- FORMATIVE, P - SUMMATIVE)/SPOSOBY OCENY ( F – FORMUJĄCA, P – PODSUMOWUJĄCA</w:t>
      </w: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F1. Project execution.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F2. </w:t>
      </w:r>
      <w:bookmarkStart w:id="1" w:name="_Hlk190368465"/>
      <w:r w:rsidRPr="00852D2B">
        <w:rPr>
          <w:rFonts w:ascii="Arial" w:eastAsia="Times New Roman" w:hAnsi="Arial" w:cs="Arial"/>
          <w:sz w:val="24"/>
          <w:szCs w:val="24"/>
          <w:lang w:val="en-US" w:eastAsia="pl-PL"/>
        </w:rPr>
        <w:t>Participation in discussions (activity during classes)</w:t>
      </w:r>
    </w:p>
    <w:bookmarkEnd w:id="1"/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lastRenderedPageBreak/>
        <w:t>F3. Test.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P1.</w:t>
      </w:r>
      <w:r w:rsidRPr="00852D2B">
        <w:rPr>
          <w:rFonts w:ascii="Calibri" w:eastAsia="Calibri" w:hAnsi="Calibri" w:cs="Times New Roman"/>
          <w:color w:val="000000"/>
          <w:lang w:val="en-GB"/>
        </w:rPr>
        <w:t xml:space="preserve"> </w:t>
      </w: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Credit based on partial grades obtained during the exercises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P2. Exam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53538F" w:rsidRPr="00852D2B" w:rsidTr="001D3F6E">
        <w:tc>
          <w:tcPr>
            <w:tcW w:w="3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Form of activity/Forma aktywności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Average hours to complete an activity/Średnia liczba godzin na zrealizowanie aktywności </w:t>
            </w:r>
          </w:p>
        </w:tc>
      </w:tr>
      <w:tr w:rsidR="0053538F" w:rsidRPr="00852D2B" w:rsidTr="001D3F6E">
        <w:trPr>
          <w:trHeight w:val="108"/>
        </w:trPr>
        <w:tc>
          <w:tcPr>
            <w:tcW w:w="3285" w:type="pct"/>
            <w:vMerge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53538F" w:rsidRPr="00852D2B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Contact hours with the teacher (lecture, exercise)/Godziny kontaktowe kontaktowe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1.8</w:t>
            </w:r>
          </w:p>
        </w:tc>
      </w:tr>
      <w:tr w:rsidR="0053538F" w:rsidRPr="00852D2B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Preparing for the exercise/Przygotowanie do ćwiczeń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0.64</w:t>
            </w:r>
          </w:p>
        </w:tc>
      </w:tr>
      <w:tr w:rsidR="0053538F" w:rsidRPr="00852D2B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Preparing to the exam/ Przygotowanie do egzaminu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0.64</w:t>
            </w:r>
          </w:p>
        </w:tc>
      </w:tr>
      <w:tr w:rsidR="0053538F" w:rsidRPr="00852D2B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Reading the indicated literature/Zapoznanie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0.64</w:t>
            </w:r>
          </w:p>
        </w:tc>
      </w:tr>
      <w:tr w:rsidR="0053538F" w:rsidRPr="00852D2B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Exam/Egzamin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0.08</w:t>
            </w:r>
          </w:p>
        </w:tc>
      </w:tr>
      <w:tr w:rsidR="0053538F" w:rsidRPr="00852D2B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Consultations</w:t>
            </w: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897" w:type="pct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0.2</w:t>
            </w:r>
          </w:p>
        </w:tc>
      </w:tr>
      <w:tr w:rsidR="0053538F" w:rsidRPr="00852D2B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TOTAL NUMBER OF ECTS POINTS FOR ITEM/SUMARYCZNA LICZBA PUNKTÓW ECTS DLA PRZEDMIOTU</w:t>
            </w:r>
          </w:p>
        </w:tc>
        <w:tc>
          <w:tcPr>
            <w:tcW w:w="897" w:type="pct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18" w:type="pct"/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:rsidR="0053538F" w:rsidRPr="00852D2B" w:rsidRDefault="0053538F" w:rsidP="0053538F">
      <w:pPr>
        <w:spacing w:after="0" w:line="360" w:lineRule="auto"/>
        <w:ind w:left="720"/>
        <w:rPr>
          <w:rFonts w:ascii="Arial" w:eastAsia="Calibri" w:hAnsi="Arial" w:cs="Arial"/>
          <w:b/>
          <w:bCs/>
          <w:sz w:val="24"/>
          <w:szCs w:val="24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>BASIC AND SUPPLEMENTARY LITERATURE/LITERATURA PODSTAWOWA I UZUPEŁNIAJĄCA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Basic Literature/Literatura podstawowa: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/>
        </w:rPr>
        <w:t>1. Samuelson WF, Marks SG, Managerial Economics, PWE, Warsaw 2021.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/>
        </w:rPr>
        <w:t>2. Jankiewicz J. ( scientific ed .), Managerial economics - a set of tasks, Poznań University of Economics Publishing House, Poznań 2022.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/>
        </w:rPr>
        <w:t>3. Solek A., Optimal decisions in managerial economics tasks, Publishing House: University of Economics in Krakow, Krakow 2017.</w:t>
      </w:r>
    </w:p>
    <w:p w:rsidR="0053538F" w:rsidRPr="00852D2B" w:rsidRDefault="0053538F" w:rsidP="005353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/>
        </w:rPr>
        <w:lastRenderedPageBreak/>
        <w:t>4. Png Ivan, Lehman Dale, Managerial Economics, Wolters Kluwer, Warsaw 2013.</w:t>
      </w:r>
      <w:r w:rsidRPr="00852D2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Supplementary Literature/Literatura uzupełniająca: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Cs/>
          <w:color w:val="000000"/>
          <w:sz w:val="24"/>
          <w:szCs w:val="24"/>
          <w:lang w:val="en-GB"/>
        </w:rPr>
        <w:t xml:space="preserve">1.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Skibiński A.</w:t>
      </w:r>
      <w:r w:rsidRPr="00852D2B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 xml:space="preserve">(2021) Business Demography as a Source of Information about the Level and Dynamics of Entrepreneurship Development - Example of Selected EU Countries. </w:t>
      </w:r>
      <w:r w:rsidRPr="00852D2B">
        <w:rPr>
          <w:rFonts w:ascii="Arial" w:eastAsia="Calibri" w:hAnsi="Arial" w:cs="Arial"/>
          <w:iCs/>
          <w:sz w:val="24"/>
          <w:szCs w:val="24"/>
          <w:lang w:val="en-US"/>
        </w:rPr>
        <w:t>Psychology and Education Vol. 58.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Cs/>
          <w:color w:val="000000"/>
          <w:sz w:val="24"/>
          <w:szCs w:val="24"/>
          <w:lang w:val="en-GB"/>
        </w:rPr>
        <w:t>2. Bajor M., (2022) Selected Aspects of Electricity Consumption in Households, Zeszyty Naukowe Politechniki Częstochowskiej. Zarządzanie vol. 48.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  <w:lang w:val="en-US"/>
        </w:rPr>
      </w:pPr>
      <w:r w:rsidRPr="00852D2B">
        <w:rPr>
          <w:rFonts w:ascii="Arial" w:eastAsia="Calibri" w:hAnsi="Arial" w:cs="Arial"/>
          <w:iCs/>
          <w:sz w:val="24"/>
          <w:szCs w:val="24"/>
          <w:lang w:val="en-US"/>
        </w:rPr>
        <w:t>3. Bajor M., (2020) Impact of Electricity Tariffs on Economic Balance of Households, [in:] Proceedings of the 3rd International Conference Contemporary Issues in Theory and Practice of Management (red.) Korombel Anna, Ławińska Olga, Okręglicka Małgorzata, Politechnika Częstochowska, Częstochowa.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52D2B">
        <w:rPr>
          <w:rFonts w:ascii="Arial" w:eastAsia="Calibri" w:hAnsi="Arial" w:cs="Arial"/>
          <w:sz w:val="24"/>
          <w:szCs w:val="24"/>
          <w:lang w:val="en-US"/>
        </w:rPr>
        <w:t>4. Martiskova P., Waldhauserova T. , Skibiński A</w:t>
      </w:r>
      <w:r w:rsidRPr="00852D2B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.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 xml:space="preserve">(2022) Corporate Social Responsibility Activities as a Way of Creating Value for Consumers. </w:t>
      </w:r>
      <w:r w:rsidRPr="00852D2B">
        <w:rPr>
          <w:rFonts w:ascii="Arial" w:eastAsia="Calibri" w:hAnsi="Arial" w:cs="Arial"/>
          <w:iCs/>
          <w:sz w:val="24"/>
          <w:szCs w:val="24"/>
          <w:lang w:val="en-US"/>
        </w:rPr>
        <w:t xml:space="preserve">Polish Journal of Management Studies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Vol. 26.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Cs/>
          <w:color w:val="000000"/>
          <w:sz w:val="24"/>
          <w:szCs w:val="24"/>
          <w:lang w:val="en-GB"/>
        </w:rPr>
        <w:t>5. Sipa M., Gorzeń-Mitka I, (2021) Assessment of the Progress towards the Management of Renewable Energy Consumption in the Innovativeness Context - a Country Approach, Energies, Vol. 14, Iss . 16, 2021.</w:t>
      </w: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Cs/>
          <w:color w:val="000000"/>
          <w:sz w:val="24"/>
          <w:szCs w:val="24"/>
          <w:lang w:val="en-GB"/>
        </w:rPr>
        <w:t>6. Sipa M., (2019) What Factors Determine the Creativity of Employees? The Perspective of Entities with a Diversified Level of Innovation [in:] Education Excellence and Innovation Management through Vision (ed.) Soliman Khalid S., International Business Information Management Association, Norristown.</w:t>
      </w: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INSTRUCTOR OF THE COURSE (NAME, SURNAME, E-MAIL ADDRESS)/PROWADZĄCY ZAJĘCIA (IMIĘ, NAZWISKO, ADRES E-MAIL)</w:t>
      </w:r>
    </w:p>
    <w:p w:rsidR="0053538F" w:rsidRPr="00852D2B" w:rsidRDefault="0053538F" w:rsidP="0053538F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Andrzej Skibiński, andrzej.skibinski@pcz.pl</w:t>
      </w:r>
    </w:p>
    <w:p w:rsidR="0053538F" w:rsidRPr="00852D2B" w:rsidRDefault="0053538F" w:rsidP="0053538F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2. Mateusz Bajor, mateusz.bajor@pcz.pl </w:t>
      </w:r>
    </w:p>
    <w:p w:rsidR="0053538F" w:rsidRPr="00852D2B" w:rsidRDefault="0053538F" w:rsidP="0053538F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Monika Sipa, monika.sipa@pcz.pl</w:t>
      </w:r>
    </w:p>
    <w:p w:rsidR="0053538F" w:rsidRPr="00852D2B" w:rsidRDefault="0053538F" w:rsidP="0053538F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3538F" w:rsidRPr="00852D2B" w:rsidRDefault="0053538F" w:rsidP="0053538F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852D2B">
        <w:rPr>
          <w:rFonts w:ascii="Arial" w:eastAsia="Times New Roman" w:hAnsi="Arial" w:cs="Arial"/>
          <w:b/>
          <w:bCs/>
          <w:sz w:val="24"/>
          <w:szCs w:val="24"/>
          <w:lang w:val="en-GB"/>
        </w:rPr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505"/>
        <w:gridCol w:w="1477"/>
        <w:gridCol w:w="1400"/>
        <w:gridCol w:w="1486"/>
        <w:gridCol w:w="1755"/>
      </w:tblGrid>
      <w:tr w:rsidR="0053538F" w:rsidRPr="009B2EFC" w:rsidTr="001D3F6E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Learning Outcome/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Efekt uczenia 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się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Reference an effect to program-wide defined 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effects/ </w:t>
            </w: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Odniesienie danego efektu do efektów 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zdefiniowanych                dla całego programu         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Course objectives/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Cele przedmiot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Curriculum content/Treści 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programowe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Teaching tools/Narzędzia dydaktycz</w:t>
            </w: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ne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Method of evaluation/Sposób oceny</w:t>
            </w:r>
          </w:p>
        </w:tc>
      </w:tr>
      <w:tr w:rsidR="0053538F" w:rsidRPr="00852D2B" w:rsidTr="001D3F6E">
        <w:trPr>
          <w:trHeight w:val="875"/>
        </w:trPr>
        <w:tc>
          <w:tcPr>
            <w:tcW w:w="64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EU1</w:t>
            </w:r>
          </w:p>
        </w:tc>
        <w:tc>
          <w:tcPr>
            <w:tcW w:w="123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 xml:space="preserve">K_W02, K_W06, </w:t>
            </w:r>
            <w:r w:rsidRPr="00852D2B">
              <w:rPr>
                <w:rFonts w:ascii="Arial" w:eastAsia="Calibri" w:hAnsi="Arial" w:cs="Arial"/>
                <w:bCs/>
                <w:color w:val="000000"/>
              </w:rPr>
              <w:br/>
              <w:t>K_U07, K_K03</w:t>
            </w:r>
          </w:p>
        </w:tc>
        <w:tc>
          <w:tcPr>
            <w:tcW w:w="754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C1, C2, C3</w:t>
            </w:r>
          </w:p>
        </w:tc>
        <w:tc>
          <w:tcPr>
            <w:tcW w:w="80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 xml:space="preserve">W1-W8, W13-W15, C1-C16, </w:t>
            </w:r>
            <w:r w:rsidRPr="00852D2B">
              <w:rPr>
                <w:rFonts w:ascii="Arial" w:eastAsia="Calibri" w:hAnsi="Arial" w:cs="Arial"/>
                <w:bCs/>
                <w:color w:val="000000"/>
              </w:rPr>
              <w:br/>
              <w:t>C23-C28</w:t>
            </w:r>
          </w:p>
        </w:tc>
        <w:tc>
          <w:tcPr>
            <w:tcW w:w="81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1, 2, 3, 4, 5, 6</w:t>
            </w:r>
          </w:p>
        </w:tc>
        <w:tc>
          <w:tcPr>
            <w:tcW w:w="740" w:type="pct"/>
            <w:shd w:val="clear" w:color="auto" w:fill="auto"/>
          </w:tcPr>
          <w:p w:rsidR="0053538F" w:rsidRPr="00852D2B" w:rsidRDefault="0053538F" w:rsidP="001D3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F1, F2, F3</w:t>
            </w: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P1, P2</w:t>
            </w:r>
          </w:p>
        </w:tc>
      </w:tr>
      <w:tr w:rsidR="0053538F" w:rsidRPr="00852D2B" w:rsidTr="001D3F6E">
        <w:trPr>
          <w:trHeight w:val="987"/>
        </w:trPr>
        <w:tc>
          <w:tcPr>
            <w:tcW w:w="64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EU2</w:t>
            </w:r>
          </w:p>
        </w:tc>
        <w:tc>
          <w:tcPr>
            <w:tcW w:w="123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 xml:space="preserve">K_W02, K_W06, </w:t>
            </w:r>
            <w:r w:rsidRPr="00852D2B">
              <w:rPr>
                <w:rFonts w:ascii="Arial" w:eastAsia="Calibri" w:hAnsi="Arial" w:cs="Arial"/>
                <w:bCs/>
                <w:color w:val="000000"/>
              </w:rPr>
              <w:br/>
              <w:t>K_U07, K_K03</w:t>
            </w:r>
          </w:p>
        </w:tc>
        <w:tc>
          <w:tcPr>
            <w:tcW w:w="754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C1, C2, C3</w:t>
            </w:r>
          </w:p>
        </w:tc>
        <w:tc>
          <w:tcPr>
            <w:tcW w:w="80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 xml:space="preserve">W9-W12,  </w:t>
            </w:r>
            <w:r w:rsidRPr="00852D2B">
              <w:rPr>
                <w:rFonts w:ascii="Arial" w:eastAsia="Calibri" w:hAnsi="Arial" w:cs="Arial"/>
                <w:bCs/>
                <w:color w:val="000000"/>
              </w:rPr>
              <w:br/>
              <w:t xml:space="preserve">C17-C22, </w:t>
            </w:r>
          </w:p>
        </w:tc>
        <w:tc>
          <w:tcPr>
            <w:tcW w:w="81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1, 2, 3, 4, 5, 6</w:t>
            </w:r>
          </w:p>
        </w:tc>
        <w:tc>
          <w:tcPr>
            <w:tcW w:w="740" w:type="pct"/>
            <w:shd w:val="clear" w:color="auto" w:fill="auto"/>
          </w:tcPr>
          <w:p w:rsidR="0053538F" w:rsidRPr="00852D2B" w:rsidRDefault="0053538F" w:rsidP="001D3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F1, F2, F3</w:t>
            </w: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P1, P2</w:t>
            </w:r>
          </w:p>
        </w:tc>
      </w:tr>
      <w:tr w:rsidR="0053538F" w:rsidRPr="00852D2B" w:rsidTr="001D3F6E">
        <w:trPr>
          <w:trHeight w:val="988"/>
        </w:trPr>
        <w:tc>
          <w:tcPr>
            <w:tcW w:w="64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EU3</w:t>
            </w:r>
          </w:p>
        </w:tc>
        <w:tc>
          <w:tcPr>
            <w:tcW w:w="123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 xml:space="preserve">K_W02, K_W06, </w:t>
            </w:r>
            <w:r w:rsidRPr="00852D2B">
              <w:rPr>
                <w:rFonts w:ascii="Arial" w:eastAsia="Calibri" w:hAnsi="Arial" w:cs="Arial"/>
                <w:bCs/>
                <w:color w:val="000000"/>
              </w:rPr>
              <w:br/>
              <w:t>K_U07, K_K03</w:t>
            </w:r>
          </w:p>
        </w:tc>
        <w:tc>
          <w:tcPr>
            <w:tcW w:w="754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C1, C2, C3</w:t>
            </w:r>
          </w:p>
        </w:tc>
        <w:tc>
          <w:tcPr>
            <w:tcW w:w="80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 xml:space="preserve">W1-W15, </w:t>
            </w:r>
            <w:r w:rsidRPr="00852D2B">
              <w:rPr>
                <w:rFonts w:ascii="Arial" w:eastAsia="Calibri" w:hAnsi="Arial" w:cs="Arial"/>
                <w:bCs/>
                <w:color w:val="000000"/>
              </w:rPr>
              <w:br/>
              <w:t>C1-C30</w:t>
            </w:r>
          </w:p>
        </w:tc>
        <w:tc>
          <w:tcPr>
            <w:tcW w:w="81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1, 2, 3, 4, 5, 6</w:t>
            </w:r>
          </w:p>
        </w:tc>
        <w:tc>
          <w:tcPr>
            <w:tcW w:w="740" w:type="pct"/>
            <w:shd w:val="clear" w:color="auto" w:fill="auto"/>
          </w:tcPr>
          <w:p w:rsidR="0053538F" w:rsidRPr="00852D2B" w:rsidRDefault="0053538F" w:rsidP="001D3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F1, F2, F3</w:t>
            </w: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P1, P2</w:t>
            </w:r>
          </w:p>
        </w:tc>
      </w:tr>
      <w:tr w:rsidR="0053538F" w:rsidRPr="00852D2B" w:rsidTr="001D3F6E">
        <w:trPr>
          <w:trHeight w:val="1144"/>
        </w:trPr>
        <w:tc>
          <w:tcPr>
            <w:tcW w:w="64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EU4</w:t>
            </w:r>
          </w:p>
        </w:tc>
        <w:tc>
          <w:tcPr>
            <w:tcW w:w="123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 xml:space="preserve">K_W02, K_W06, </w:t>
            </w:r>
            <w:r w:rsidRPr="00852D2B">
              <w:rPr>
                <w:rFonts w:ascii="Arial" w:eastAsia="Calibri" w:hAnsi="Arial" w:cs="Arial"/>
                <w:bCs/>
                <w:color w:val="000000"/>
              </w:rPr>
              <w:br/>
              <w:t>K_U07, K_K03</w:t>
            </w:r>
          </w:p>
        </w:tc>
        <w:tc>
          <w:tcPr>
            <w:tcW w:w="754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C1, C2, C3</w:t>
            </w:r>
          </w:p>
        </w:tc>
        <w:tc>
          <w:tcPr>
            <w:tcW w:w="805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W7- W8, W13 -W15, C13-C16, C23-C30</w:t>
            </w:r>
          </w:p>
        </w:tc>
        <w:tc>
          <w:tcPr>
            <w:tcW w:w="818" w:type="pct"/>
            <w:shd w:val="clear" w:color="auto" w:fill="auto"/>
          </w:tcPr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1, 2, 3, 4, 5, 6</w:t>
            </w:r>
          </w:p>
        </w:tc>
        <w:tc>
          <w:tcPr>
            <w:tcW w:w="740" w:type="pct"/>
            <w:shd w:val="clear" w:color="auto" w:fill="auto"/>
          </w:tcPr>
          <w:p w:rsidR="0053538F" w:rsidRPr="00852D2B" w:rsidRDefault="0053538F" w:rsidP="001D3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F1, F2, F3</w:t>
            </w:r>
          </w:p>
          <w:p w:rsidR="0053538F" w:rsidRPr="00852D2B" w:rsidRDefault="0053538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color w:val="000000"/>
              </w:rPr>
              <w:t>P1, P2</w:t>
            </w:r>
          </w:p>
        </w:tc>
      </w:tr>
    </w:tbl>
    <w:p w:rsidR="0053538F" w:rsidRPr="00852D2B" w:rsidRDefault="0053538F" w:rsidP="0053538F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53538F" w:rsidRPr="00852D2B" w:rsidRDefault="0053538F" w:rsidP="0053538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FORM OF ASSESSMENT - DETAILS/FORMY OCENY – SZCZEGÓŁY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1"/>
        <w:gridCol w:w="1990"/>
        <w:gridCol w:w="1990"/>
        <w:gridCol w:w="1990"/>
        <w:gridCol w:w="1990"/>
      </w:tblGrid>
      <w:tr w:rsidR="0053538F" w:rsidRPr="00852D2B" w:rsidTr="001D3F6E">
        <w:trPr>
          <w:trHeight w:hRule="exact" w:val="794"/>
        </w:trPr>
        <w:tc>
          <w:tcPr>
            <w:tcW w:w="608" w:type="pct"/>
            <w:shd w:val="clear" w:color="auto" w:fill="FFFFFF"/>
            <w:vAlign w:val="center"/>
          </w:tcPr>
          <w:p w:rsidR="0053538F" w:rsidRPr="00852D2B" w:rsidRDefault="0053538F" w:rsidP="001D3F6E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Per grade 2/Na ocenę 2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Per grade 3/Na ocenę 3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Per grade 4/Na ocenę 4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8F" w:rsidRPr="00852D2B" w:rsidRDefault="0053538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Per grade 5/Na ocenę 5</w:t>
            </w:r>
          </w:p>
        </w:tc>
      </w:tr>
      <w:tr w:rsidR="0053538F" w:rsidRPr="009B2EFC" w:rsidTr="001D3F6E">
        <w:trPr>
          <w:trHeight w:hRule="exact" w:val="2758"/>
        </w:trPr>
        <w:tc>
          <w:tcPr>
            <w:tcW w:w="608" w:type="pct"/>
            <w:shd w:val="clear" w:color="auto" w:fill="FFFFFF"/>
          </w:tcPr>
          <w:p w:rsidR="0053538F" w:rsidRPr="00852D2B" w:rsidRDefault="0053538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Effect 1/ Efekt 1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95 % of the points.</w:t>
            </w:r>
          </w:p>
        </w:tc>
      </w:tr>
      <w:tr w:rsidR="0053538F" w:rsidRPr="009B2EFC" w:rsidTr="001D3F6E">
        <w:trPr>
          <w:trHeight w:hRule="exact" w:val="2697"/>
        </w:trPr>
        <w:tc>
          <w:tcPr>
            <w:tcW w:w="608" w:type="pct"/>
            <w:shd w:val="clear" w:color="auto" w:fill="FFFFFF"/>
          </w:tcPr>
          <w:p w:rsidR="0053538F" w:rsidRPr="00852D2B" w:rsidRDefault="0053538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Effect 2/</w:t>
            </w:r>
          </w:p>
          <w:p w:rsidR="0053538F" w:rsidRPr="00852D2B" w:rsidRDefault="0053538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Efekt 2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95 % of the points.</w:t>
            </w:r>
          </w:p>
        </w:tc>
      </w:tr>
      <w:tr w:rsidR="0053538F" w:rsidRPr="009B2EFC" w:rsidTr="001D3F6E">
        <w:trPr>
          <w:trHeight w:hRule="exact" w:val="2679"/>
        </w:trPr>
        <w:tc>
          <w:tcPr>
            <w:tcW w:w="608" w:type="pct"/>
            <w:shd w:val="clear" w:color="auto" w:fill="FFFFFF"/>
          </w:tcPr>
          <w:p w:rsidR="0053538F" w:rsidRPr="00852D2B" w:rsidRDefault="0053538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Effect 3/</w:t>
            </w:r>
          </w:p>
          <w:p w:rsidR="0053538F" w:rsidRPr="00852D2B" w:rsidRDefault="0053538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Efekt 3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95 % of the points.</w:t>
            </w:r>
          </w:p>
        </w:tc>
      </w:tr>
      <w:tr w:rsidR="0053538F" w:rsidRPr="009B2EFC" w:rsidTr="001D3F6E">
        <w:trPr>
          <w:trHeight w:hRule="exact" w:val="2561"/>
        </w:trPr>
        <w:tc>
          <w:tcPr>
            <w:tcW w:w="608" w:type="pct"/>
            <w:shd w:val="clear" w:color="auto" w:fill="FFFFFF"/>
          </w:tcPr>
          <w:p w:rsidR="0053538F" w:rsidRPr="00852D2B" w:rsidRDefault="0053538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Effect 4/</w:t>
            </w:r>
          </w:p>
          <w:p w:rsidR="0053538F" w:rsidRPr="00852D2B" w:rsidRDefault="0053538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possesses the knowledge and skills specified in this learning outcome to a degree of less than 60% of the points.</w:t>
            </w:r>
          </w:p>
        </w:tc>
        <w:tc>
          <w:tcPr>
            <w:tcW w:w="1098" w:type="pct"/>
            <w:shd w:val="clear" w:color="auto" w:fill="FFFFFF"/>
          </w:tcPr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The student has knowledge</w:t>
            </w:r>
          </w:p>
          <w:p w:rsidR="0053538F" w:rsidRPr="00852D2B" w:rsidRDefault="0053538F" w:rsidP="001D3F6E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color w:val="000000"/>
                <w:lang w:val="en-GB"/>
              </w:rPr>
              <w:t>and skills specified in this learning outcome by achieving at least 95 % of the points.</w:t>
            </w:r>
          </w:p>
        </w:tc>
      </w:tr>
    </w:tbl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852D2B">
        <w:rPr>
          <w:rFonts w:ascii="Arial" w:eastAsia="Calibri" w:hAnsi="Arial" w:cs="Arial"/>
          <w:sz w:val="18"/>
          <w:szCs w:val="18"/>
          <w:lang w:val="en-GB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  the learning outcomes for a grade of 5.0./ </w:t>
      </w:r>
      <w:r w:rsidRPr="00852D2B">
        <w:rPr>
          <w:rFonts w:ascii="Arial" w:eastAsia="Calibri" w:hAnsi="Arial" w:cs="Arial"/>
          <w:sz w:val="18"/>
          <w:szCs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53538F" w:rsidRPr="00852D2B" w:rsidRDefault="0053538F" w:rsidP="005353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538F" w:rsidRPr="00852D2B" w:rsidRDefault="0053538F" w:rsidP="0053538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52D2B">
        <w:rPr>
          <w:rFonts w:ascii="Arial" w:eastAsia="Calibri" w:hAnsi="Arial" w:cs="Arial"/>
          <w:b/>
          <w:sz w:val="24"/>
          <w:szCs w:val="24"/>
        </w:rPr>
        <w:t>OTHER USEFUL INFORMAION ABOUT THE ITEM/INNE PRZYDATNE INFORMACJE O PRZEDMIOCIE</w:t>
      </w:r>
    </w:p>
    <w:p w:rsidR="0053538F" w:rsidRPr="00A8720C" w:rsidRDefault="0053538F" w:rsidP="005353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53538F" w:rsidRPr="00A8720C" w:rsidRDefault="0053538F" w:rsidP="005353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53538F" w:rsidRPr="00A8720C" w:rsidRDefault="0053538F" w:rsidP="005353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53538F" w:rsidRPr="00A8720C" w:rsidRDefault="0053538F" w:rsidP="005353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lastRenderedPageBreak/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4337AF" w:rsidRDefault="004337AF"/>
    <w:sectPr w:rsidR="0043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B2A"/>
    <w:multiLevelType w:val="multilevel"/>
    <w:tmpl w:val="EC2C02D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8F"/>
    <w:rsid w:val="004337AF"/>
    <w:rsid w:val="005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ACB5-EEDC-4D74-A853-DA6DB4B0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2025-06-13T07:47:00Z</dcterms:created>
  <dcterms:modified xsi:type="dcterms:W3CDTF">2025-06-13T07:47:00Z</dcterms:modified>
</cp:coreProperties>
</file>